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6 basis points per year for the most stable sectors (net-lease retail, manufactured housing, moderate-income housing) to roughly 50 basis points for the most volatile (full-service hotels) — a range consistent with several decades of realized experience for institutional-quality senior mortgages.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positive correlation (0.70): in scenarios where revenue disappoints, expenses tend to soften too (and vice versa), as they do in practice.</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0.4% per year, no matter how strong coverage looks — history shows performing, well-covered commercial mortgages still default occasionally, for idiosyncratic reasons (tenant bankruptcy, fraud, environmental events) that coverage ratios cannot see.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final test — if the mark-to-market loan-to-value at exit exceeds 105%, the borrower cannot refinance or sell to retire the loan, will not write a check to cover negative equity, and the loan defaults at maturity. Unlike the term years, this test is deterministic: a scenario that ends with the property worth less than the loan always books the outcome, rather than depending on a probability draw. Mildly underwater exits (up to 105%) are assumed to extend or bridge.</w:t>
      </w:r>
    </w:p>
    <w:p>
      <w:pPr>
        <w:spacing w:after="160" w:line="276"/>
      </w:pPr>
      <w:r>
        <w:rPr>
          <w:rFonts w:ascii="Calibri" w:cs="Calibri" w:eastAsia="Calibri" w:hAnsi="Calibri"/>
          <w:sz w:val="22"/>
          <w:szCs w:val="22"/>
        </w:rPr>
        <w:t xml:space="preserve">Of the loans that fail the maturity test, 20%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6 to 51 basis points per year across the 21 sectors,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0.70 (Gaussian copula)</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−6.5, distress +1.5, safety −1.31, LTV +1.0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0.4%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Exit mark-to-market LTV &gt; 105% → default at balloon (deterministic)</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20%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2026-07-16T01:51:07.342Z</dcterms:created>
  <dcterms:modified xsi:type="dcterms:W3CDTF">2026-07-16T01:51:07.343Z</dcterms:modified>
</cp:coreProperties>
</file>

<file path=docProps/custom.xml><?xml version="1.0" encoding="utf-8"?>
<Properties xmlns="http://schemas.openxmlformats.org/officeDocument/2006/custom-properties" xmlns:vt="http://schemas.openxmlformats.org/officeDocument/2006/docPropsVTypes"/>
</file>