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8 basis points per year for the most stable sectors through a 10–25 basis-point core — consistent with the expected-loss levels embedded in NAIC risk-based-capital factors for loans of this profile — to roughly 40 basis points for the most volatile sector (full-service hotels).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spacing w:after="160" w:line="276"/>
      </w:pPr>
      <w:r>
        <w:rPr>
          <w:rFonts w:ascii="Calibri" w:cs="Calibri" w:eastAsia="Calibri" w:hAnsi="Calibri"/>
          <w:sz w:val="22"/>
          <w:szCs w:val="22"/>
        </w:rPr>
        <w:t xml:space="preserve">One convention matters for interpreting every output: these are single-asset volatilities, not index volatilities. A property index is effectively a portfolio of thousands of assets — idiosyncratic events cancel across holdings and appraisal smoothing dampens what remains — so index volatility understates the risk of owning one building. The model deliberately prices one representative asset per sector (one deal on the equity side, one loan on the credit side), so its inputs sit well above index-level volatilities by design, and its risk metrics describe standalone assets rather than diversified portfolios. Inputs should accordingly be validated against property-level data, not index series.</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sector-specific correlation, set from evidence on each sector’s cost structure: hotels highest (0.75–0.85 — industry flow-through data shows expenses absorb 40–70% of a revenue change in the same year), triple-net and reimbursement-heavy sectors high when measured gross of recoveries (0.65–0.75), office and apartments moderate (0.45 — the one directly measured statistic in the literature), and tax/insurance-dominated residential and storage sectors low (0.30–0.35, since their expenses grind upward largely independent of revenue). This correlation matters more than it looks: through operating leverage it controls how hard net operating income swings when revenue moves.</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0.6% per year, no matter how strong coverage looks — history shows performing, well-covered commercial mortgages still default for idiosyncratic reasons (tenant bankruptcy, fraud, environmental events) that coverage ratios cannot see, and interest-only loans carry no amortization cushion.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value test based on its mark-to-market loan-to-value at exit. Below 75% — the leverage a take-out lender will actually provide — the balloon refinances comfortably and the loan repays in full. Above 105% — the property worth less than the loan by more than any sponsor would bridge — the loan always defaults. Between those two points sits the refinancing gap: the property has positive equity on paper, but a take-out lender will only size a new loan to roughly 70–75% of value, leaving a hole the sponsor must fill. Default probability rises smoothly across that zone (a loan exiting at 90% LTV defaults about half the time). Historically, this refinancing-gap channel — not outright negative equity — is where most commercial mortgage defaults occur.</w:t>
      </w:r>
    </w:p>
    <w:p>
      <w:pPr>
        <w:spacing w:after="160" w:line="276"/>
      </w:pPr>
      <w:r>
        <w:rPr>
          <w:rFonts w:ascii="Calibri" w:cs="Calibri" w:eastAsia="Calibri" w:hAnsi="Calibri"/>
          <w:sz w:val="22"/>
          <w:szCs w:val="22"/>
        </w:rPr>
        <w:t xml:space="preserve">Of the loans that default at maturity, 20%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8 to 40 basis points per year across the 21 sectors, with a 10–25 basis-point core,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No recession scenario. </w:t>
      </w:r>
      <w:r>
        <w:rPr>
          <w:rFonts w:ascii="Calibri" w:cs="Calibri" w:eastAsia="Calibri" w:hAnsi="Calibri"/>
          <w:sz w:val="22"/>
          <w:szCs w:val="22"/>
        </w:rPr>
        <w:t xml:space="preserve">Each simulated future draws its shocks independently around trend — there is no correlated downturn in which revenue falls, cap rates spike, refinancing tightens, and expense flexibility breaks down all at once, across sectors. This most affects the sectors whose historical losses were concentrated in such episodes: full-service hotels, for example, price below their long-run historical loss experience for exactly this reason. A systematic stress factor is the planned remedy.</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Per-sector input, 0.20–0.85 (Gaussian copula); from lease-structure and hotel flow-through evidence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 verified against realized correlation each run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−6.0, distress +2.0, safety −1.31, LTV +1.5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0.6%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 (IO loans, no amortization cushion)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Refinancing-gap ramp on exit mark-to-market LTV: P=0 below 75%, rising linearly to P=1 at 105%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 refi-gap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20%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2026-07-16T10:25:27.974Z</dcterms:created>
  <dcterms:modified xsi:type="dcterms:W3CDTF">2026-07-16T10:25:27.976Z</dcterms:modified>
</cp:coreProperties>
</file>

<file path=docProps/custom.xml><?xml version="1.0" encoding="utf-8"?>
<Properties xmlns="http://schemas.openxmlformats.org/officeDocument/2006/custom-properties" xmlns:vt="http://schemas.openxmlformats.org/officeDocument/2006/docPropsVTypes"/>
</file>