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9 basis points per year for the most stable sectors (medical office, manufactured housing, single-family rentals) through a 10–25 basis-point core — consistent with the expected-loss levels embedded in NAIC risk-based-capital factors for loans of this profile — to roughly 65 basis points for the most volatile sector (full-service hotels).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positive correlation (0.70): in scenarios where revenue disappoints, expenses tend to soften too (and vice versa), as they do in practice.</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spacing w:after="160" w:line="276"/>
      </w:pPr>
      <w:r>
        <w:rPr>
          <w:rFonts w:ascii="Calibri" w:cs="Calibri" w:eastAsia="Calibri" w:hAnsi="Calibri"/>
          <w:sz w:val="22"/>
          <w:szCs w:val="22"/>
        </w:rPr>
        <w:t xml:space="preserve">Expenses revert to their trend as well, but more slowly (half of a deviation closes in about seven years): operating costs track inflation over the long run, but they are sticky — they do not adjust as quickly as revenue recovers. That gap is deliberate, and it is what allows sustained expense pressure against weak revenue to remain a genuine risk in the simulation.</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0.6% per year, no matter how strong coverage looks — history shows performing, well-covered commercial mortgages still default for idiosyncratic reasons (tenant bankruptcy, fraud, environmental events) that coverage ratios cannot see, and interest-only loans carry no amortization cushion.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value test based on its mark-to-market loan-to-value at exit. Below 75% — the leverage a take-out lender will actually provide — the balloon refinances comfortably and the loan repays in full. Above 105% — the property worth less than the loan by more than any sponsor would bridge — the loan always defaults. Between those two points sits the refinancing gap: the property has positive equity on paper, but a take-out lender will only size a new loan to roughly 70–75% of value, leaving a hole the sponsor must fill. Default probability rises smoothly across that zone (a loan exiting at 90% LTV defaults about half the time). Historically, this refinancing-gap channel — not outright negative equity — is where most commercial mortgage defaults occur.</w:t>
      </w:r>
    </w:p>
    <w:p>
      <w:pPr>
        <w:spacing w:after="160" w:line="276"/>
      </w:pPr>
      <w:r>
        <w:rPr>
          <w:rFonts w:ascii="Calibri" w:cs="Calibri" w:eastAsia="Calibri" w:hAnsi="Calibri"/>
          <w:sz w:val="22"/>
          <w:szCs w:val="22"/>
        </w:rPr>
        <w:t xml:space="preserve">Of the loans that default at maturity, 20% are assumed to cure — resolve through extension or workout with no principal loss, as values recover — consistent with rating-agency evidence that many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9 to 65 basis points per year across the 21 sectors, with a 10–25 basis-point core, with an ordering that matches this historical record — hotels and cold storage at the top, driven largely by the maturity test (they are the sectors most likely to be worth less than the loan at exit), and medical office, manufactured housing, net-lease, and stabilized housing at the bottom. The calibration procedure scores candidate parameters on both the level of the ladder and its ordering against the historical record, and the script is retained alongside the model so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0.70 (Gaussian copula)</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Expense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0.10 per year (half-life ≈ 7 years) — costs are stickier than revenue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expenses back to inflation trend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−6.0, distress +2.0, safety −1.31, LTV +1.5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0.6%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 (IO loans, no amortization cushion)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Refinancing-gap ramp on exit mark-to-market LTV: P=0 below 75%, rising linearly to P=1 at 105%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 refi-gap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20%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2026-07-16T02:23:32.792Z</dcterms:created>
  <dcterms:modified xsi:type="dcterms:W3CDTF">2026-07-16T02:23:32.793Z</dcterms:modified>
</cp:coreProperties>
</file>

<file path=docProps/custom.xml><?xml version="1.0" encoding="utf-8"?>
<Properties xmlns="http://schemas.openxmlformats.org/officeDocument/2006/custom-properties" xmlns:vt="http://schemas.openxmlformats.org/officeDocument/2006/docPropsVTypes"/>
</file>