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2"/>
      </w:pPr>
      <w:r/>
      <w:r>
        <w:t xml:space="preserve"> Table of Contents</w:t>
      </w:r>
      <w:r/>
      <w:r/>
      <w:r/>
      <w:r/>
    </w:p>
    <w:p>
      <w:pPr>
        <w:pStyle w:val="ListBullet"/>
        <w:spacing w:line="240" w:lineRule="auto"/>
        <w:ind w:left="720"/>
      </w:pPr>
      <w:r/>
      <w:hyperlink w:anchor="docnexus-architecture-logic-flows" w:history="1">
        <w:r>
          <w:rPr>
            <w:color w:val="0000EE"/>
            <w:u w:val="single"/>
          </w:rPr>
          <w:t>DocNexus Architecture &amp; Logic Flows</w:t>
        </w:r>
      </w:hyperlink>
      <w:r/>
    </w:p>
    <w:p>
      <w:pPr>
        <w:pStyle w:val="ListBullet"/>
        <w:spacing w:line="240" w:lineRule="auto"/>
        <w:ind w:left="1440"/>
      </w:pPr>
      <w:r/>
      <w:hyperlink w:anchor="1-functional-layout-block-design" w:history="1">
        <w:r>
          <w:rPr>
            <w:color w:val="0000EE"/>
            <w:u w:val="single"/>
          </w:rPr>
          <w:t>1. Functional Layout (Block Design)</w:t>
        </w:r>
      </w:hyperlink>
      <w:r/>
    </w:p>
    <w:p>
      <w:pPr>
        <w:pStyle w:val="ListBullet"/>
        <w:spacing w:line="240" w:lineRule="auto"/>
        <w:ind w:left="1440"/>
      </w:pPr>
      <w:r/>
      <w:hyperlink w:anchor="2-low-level-architecture-class-design" w:history="1">
        <w:r>
          <w:rPr>
            <w:color w:val="0000EE"/>
            <w:u w:val="single"/>
          </w:rPr>
          <w:t>2. Low Level Architecture (Class Design)</w:t>
        </w:r>
      </w:hyperlink>
      <w:r/>
    </w:p>
    <w:p>
      <w:pPr>
        <w:pStyle w:val="ListBullet"/>
        <w:spacing w:line="240" w:lineRule="auto"/>
        <w:ind w:left="1440"/>
      </w:pPr>
      <w:r/>
      <w:hyperlink w:anchor="3-detailed-logic-flows" w:history="1">
        <w:r>
          <w:rPr>
            <w:color w:val="0000EE"/>
            <w:u w:val="single"/>
          </w:rPr>
          <w:t>3. Detailed Logic Flows</w:t>
        </w:r>
      </w:hyperlink>
      <w:r/>
    </w:p>
    <w:p>
      <w:pPr>
        <w:pStyle w:val="ListBullet"/>
        <w:spacing w:line="240" w:lineRule="auto"/>
        <w:ind w:left="2160"/>
      </w:pPr>
      <w:r/>
      <w:hyperlink w:anchor="a-application-startup-deep-dive" w:history="1">
        <w:r>
          <w:rPr>
            <w:color w:val="0000EE"/>
            <w:u w:val="single"/>
          </w:rPr>
          <w:t>A. Application Startup (Deep Dive)</w:t>
        </w:r>
      </w:hyperlink>
      <w:r/>
    </w:p>
    <w:p>
      <w:pPr>
        <w:pStyle w:val="ListBullet"/>
        <w:spacing w:line="240" w:lineRule="auto"/>
        <w:ind w:left="2160"/>
      </w:pPr>
      <w:r/>
      <w:hyperlink w:anchor="b-document-rendering-pipeline" w:history="1">
        <w:r>
          <w:rPr>
            <w:color w:val="0000EE"/>
            <w:u w:val="single"/>
          </w:rPr>
          <w:t>B. Document Rendering Pipeline</w:t>
        </w:r>
      </w:hyperlink>
      <w:r/>
    </w:p>
    <w:p>
      <w:pPr>
        <w:pStyle w:val="ListBullet"/>
        <w:spacing w:line="240" w:lineRule="auto"/>
        <w:ind w:left="2160"/>
      </w:pPr>
      <w:r/>
      <w:hyperlink w:anchor="c-export-request-flow" w:history="1">
        <w:r>
          <w:rPr>
            <w:color w:val="0000EE"/>
            <w:u w:val="single"/>
          </w:rPr>
          <w:t>C. Export Request Flow</w:t>
        </w:r>
      </w:hyperlink>
      <w:r/>
    </w:p>
    <w:p>
      <w:pPr>
        <w:pStyle w:val="ListBullet"/>
        <w:spacing w:line="240" w:lineRule="auto"/>
        <w:ind w:left="2160"/>
      </w:pPr>
      <w:r/>
      <w:hyperlink w:anchor="d-extension-management-flow" w:history="1">
        <w:r>
          <w:rPr>
            <w:color w:val="0000EE"/>
            <w:u w:val="single"/>
          </w:rPr>
          <w:t>D. Extension Management Flow</w:t>
        </w:r>
      </w:hyperlink>
      <w:r/>
      <w:r/>
      <w:r/>
    </w:p>
    <w:p>
      <w:pPr>
        <w:pStyle w:val="ListBullet"/>
        <w:spacing w:line="240" w:lineRule="auto"/>
        <w:ind w:left="1440"/>
      </w:pPr>
      <w:r/>
      <w:hyperlink w:anchor="4-versioning-architecture" w:history="1">
        <w:r>
          <w:rPr>
            <w:color w:val="0000EE"/>
            <w:u w:val="single"/>
          </w:rPr>
          <w:t>4. Versioning Architecture</w:t>
        </w:r>
      </w:hyperlink>
      <w:r/>
    </w:p>
    <w:p>
      <w:pPr>
        <w:pStyle w:val="ListBullet"/>
        <w:spacing w:line="240" w:lineRule="auto"/>
        <w:ind w:left="2160"/>
      </w:pPr>
      <w:r/>
      <w:hyperlink w:anchor="the-source-of-truth" w:history="1">
        <w:r>
          <w:rPr>
            <w:color w:val="0000EE"/>
            <w:u w:val="single"/>
          </w:rPr>
          <w:t>The Source of Truth</w:t>
        </w:r>
      </w:hyperlink>
      <w:r/>
    </w:p>
    <w:p>
      <w:pPr>
        <w:pStyle w:val="ListBullet"/>
        <w:spacing w:line="240" w:lineRule="auto"/>
        <w:ind w:left="2160"/>
      </w:pPr>
      <w:r/>
      <w:hyperlink w:anchor="the-propagation-flow" w:history="1">
        <w:r>
          <w:rPr>
            <w:color w:val="0000EE"/>
            <w:u w:val="single"/>
          </w:rPr>
          <w:t>The Propagation Flow</w:t>
        </w:r>
      </w:hyperlink>
      <w:r/>
      <w:r/>
      <w:r/>
    </w:p>
    <w:p>
      <w:pPr>
        <w:pStyle w:val="ListBullet"/>
        <w:spacing w:line="240" w:lineRule="auto"/>
        <w:ind w:left="1440"/>
      </w:pPr>
      <w:r/>
      <w:hyperlink w:anchor="5-module-breakdown" w:history="1">
        <w:r>
          <w:rPr>
            <w:color w:val="0000EE"/>
            <w:u w:val="single"/>
          </w:rPr>
          <w:t>5. Module Breakdown</w:t>
        </w:r>
      </w:hyperlink>
      <w:r/>
    </w:p>
    <w:p>
      <w:pPr>
        <w:pStyle w:val="ListBullet"/>
        <w:spacing w:line="240" w:lineRule="auto"/>
        <w:ind w:left="2160"/>
      </w:pPr>
      <w:r/>
      <w:hyperlink w:anchor="docnexuscore" w:history="1">
        <w:r>
          <w:rPr>
            <w:color w:val="0000EE"/>
            <w:u w:val="single"/>
          </w:rPr>
          <w:t>docnexus.core</w:t>
        </w:r>
      </w:hyperlink>
      <w:r/>
    </w:p>
    <w:p>
      <w:pPr>
        <w:pStyle w:val="ListBullet"/>
        <w:spacing w:line="240" w:lineRule="auto"/>
        <w:ind w:left="2160"/>
      </w:pPr>
      <w:r/>
      <w:hyperlink w:anchor="docnexusfeatures" w:history="1">
        <w:r>
          <w:rPr>
            <w:color w:val="0000EE"/>
            <w:u w:val="single"/>
          </w:rPr>
          <w:t>docnexus.features</w:t>
        </w:r>
      </w:hyperlink>
      <w:r/>
    </w:p>
    <w:p>
      <w:pPr>
        <w:pStyle w:val="ListBullet"/>
        <w:spacing w:line="240" w:lineRule="auto"/>
        <w:ind w:left="2160"/>
      </w:pPr>
      <w:r/>
      <w:hyperlink w:anchor="docnexusplugins" w:history="1">
        <w:r>
          <w:rPr>
            <w:color w:val="0000EE"/>
            <w:u w:val="single"/>
          </w:rPr>
          <w:t>docnexus.plugins</w:t>
        </w:r>
      </w:hyperlink>
      <w:r/>
      <w:r/>
      <w:r/>
      <w:r/>
      <w:r/>
      <w:r/>
      <w:r/>
      <w:r/>
      <w:r/>
    </w:p>
    <w:p>
      <w:bookmarkStart w:id="9910" w:name="docnexus-architecture-logic-flows"/>
      <w:pPr>
        <w:pStyle w:val="Heading1"/>
      </w:pPr>
      <w:r>
        <w:t>DocNexus Architecture &amp; Logic Flows</w:t>
      </w:r>
      <w:r/>
      <w:bookmarkEnd w:id="9910"/>
    </w:p>
    <w:p>
      <w:r/>
      <w:r>
        <w:t>This document provides a deep dive into the internal architecture, versioning logic, and data rendering flows of DocNexus v1.2.0+.</w:t>
      </w:r>
      <w:r/>
    </w:p>
    <w:p>
      <w:pPr>
        <w:pBdr>
          <w:bottom w:val="single" w:sz="6" w:space="1" w:color="auto"/>
        </w:pBdr>
      </w:pPr>
      <w:r/>
    </w:p>
    <w:p>
      <w:bookmarkStart w:id="5742" w:name="1-functional-layout-block-design"/>
      <w:pPr>
        <w:pStyle w:val="Heading2"/>
      </w:pPr>
      <w:r>
        <w:t>1. Functional Layout (Block Design)</w:t>
      </w:r>
      <w:r/>
      <w:bookmarkEnd w:id="5742"/>
    </w:p>
    <w:p>
      <w:r/>
      <w:r>
        <w:t xml:space="preserve">The application consists of three primary functional blocks: the </w:t>
      </w:r>
      <w:r>
        <w:rPr>
          <w:b/>
        </w:rPr>
        <w:t>Input Processor</w:t>
      </w:r>
      <w:r>
        <w:t xml:space="preserve">, the </w:t>
      </w:r>
      <w:r>
        <w:rPr>
          <w:b/>
        </w:rPr>
        <w:t>Core Kernel</w:t>
      </w:r>
      <w:r>
        <w:t xml:space="preserve">, and the </w:t>
      </w:r>
      <w:r>
        <w:rPr>
          <w:b/>
        </w:rPr>
        <w:t>Output Generators</w:t>
      </w:r>
      <w:r>
        <w:t>.</w:t>
      </w:r>
      <w:r/>
      <w:r/>
    </w:p>
    <w:p>
      <w:r>
        <w:drawing>
          <wp:inline xmlns:a="http://schemas.openxmlformats.org/drawingml/2006/main" xmlns:pic="http://schemas.openxmlformats.org/drawingml/2006/picture">
            <wp:extent cx="39014400" cy="2029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image_592624348749297232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0" cy="2029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/>
    </w:p>
    <w:p>
      <w:bookmarkStart w:id="3572" w:name="2-low-level-architecture-class-design"/>
      <w:pPr>
        <w:pStyle w:val="Heading2"/>
      </w:pPr>
      <w:r>
        <w:t>2. Low Level Architecture (Class Design)</w:t>
      </w:r>
      <w:r/>
      <w:bookmarkEnd w:id="3572"/>
    </w:p>
    <w:p>
      <w:r/>
      <w:r>
        <w:t xml:space="preserve">The system relies on a strictly typed (checked at runtime) relationship between the </w:t>
      </w:r>
      <w:r>
        <w:rPr>
          <w:b/>
        </w:rPr>
        <w:t>Manager</w:t>
      </w:r>
      <w:r>
        <w:t xml:space="preserve">, </w:t>
      </w:r>
      <w:r>
        <w:rPr>
          <w:b/>
        </w:rPr>
        <w:t>Registry</w:t>
      </w:r>
      <w:r>
        <w:t xml:space="preserve">, and </w:t>
      </w:r>
      <w:r>
        <w:rPr>
          <w:b/>
        </w:rPr>
        <w:t>Features</w:t>
      </w:r>
      <w:r>
        <w:t>.</w:t>
      </w:r>
      <w:r/>
      <w:r/>
    </w:p>
    <w:p>
      <w:r>
        <w:drawing>
          <wp:inline xmlns:a="http://schemas.openxmlformats.org/drawingml/2006/main" xmlns:pic="http://schemas.openxmlformats.org/drawingml/2006/picture">
            <wp:extent cx="24193500" cy="4605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image_-76097872271978080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0" cy="4605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/>
    </w:p>
    <w:p>
      <w:bookmarkStart w:id="4252" w:name="3-detailed-logic-flows"/>
      <w:pPr>
        <w:pStyle w:val="Heading2"/>
      </w:pPr>
      <w:r>
        <w:t>3. Detailed Logic Flows</w:t>
      </w:r>
      <w:r/>
      <w:bookmarkEnd w:id="4252"/>
    </w:p>
    <w:p>
      <w:bookmarkStart w:id="1392" w:name="a-application-startup-deep-dive"/>
      <w:pPr>
        <w:pStyle w:val="Heading3"/>
      </w:pPr>
      <w:r>
        <w:t>A. Application Startup (Deep Dive)</w:t>
      </w:r>
      <w:r/>
      <w:bookmarkEnd w:id="1392"/>
    </w:p>
    <w:p>
      <w:r/>
      <w:r>
        <w:t>How the application initializes, handling both frozen (PyInstaller) and source environments.</w:t>
      </w:r>
      <w:r/>
      <w:r/>
    </w:p>
    <w:p>
      <w:r>
        <w:drawing>
          <wp:inline xmlns:a="http://schemas.openxmlformats.org/drawingml/2006/main" xmlns:pic="http://schemas.openxmlformats.org/drawingml/2006/picture">
            <wp:extent cx="39014400" cy="4458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image_-34871615015835227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0" cy="4458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682" w:name="b-document-rendering-pipeline"/>
      <w:pPr>
        <w:pStyle w:val="Heading3"/>
      </w:pPr>
      <w:r>
        <w:t>B. Document Rendering Pipeline</w:t>
      </w:r>
      <w:r/>
      <w:bookmarkEnd w:id="4682"/>
    </w:p>
    <w:p>
      <w:r/>
      <w:r>
        <w:t>The core loop: transforming Markdown source into the HTML viewed by the user.</w:t>
      </w:r>
      <w:r/>
      <w:r/>
    </w:p>
    <w:p>
      <w:r>
        <w:drawing>
          <wp:inline xmlns:a="http://schemas.openxmlformats.org/drawingml/2006/main" xmlns:pic="http://schemas.openxmlformats.org/drawingml/2006/picture">
            <wp:extent cx="39014400" cy="3093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image_-667694446832104875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0" cy="3093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453" w:name="c-export-request-flow"/>
      <w:pPr>
        <w:pStyle w:val="Heading3"/>
      </w:pPr>
      <w:r>
        <w:t>C. Export Request Flow</w:t>
      </w:r>
      <w:r/>
      <w:bookmarkEnd w:id="9453"/>
    </w:p>
    <w:p>
      <w:r/>
      <w:r>
        <w:t>The user clicks "Export to PDF". The system must locate the correct handler, ensure it's allowed, and execute it safe-mode.</w:t>
      </w:r>
      <w:r/>
      <w:r/>
    </w:p>
    <w:p>
      <w:r>
        <w:drawing>
          <wp:inline xmlns:a="http://schemas.openxmlformats.org/drawingml/2006/main" xmlns:pic="http://schemas.openxmlformats.org/drawingml/2006/picture">
            <wp:extent cx="39014400" cy="431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image_-529947682949515318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0" cy="431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745" w:name="d-extension-management-flow"/>
      <w:pPr>
        <w:pStyle w:val="Heading3"/>
      </w:pPr>
      <w:r>
        <w:t>D. Extension Management Flow</w:t>
      </w:r>
      <w:r/>
      <w:bookmarkEnd w:id="8745"/>
    </w:p>
    <w:p>
      <w:r/>
      <w:r>
        <w:t>User installs an extension via the Marketplace UI.</w:t>
      </w:r>
      <w:r/>
      <w:r/>
    </w:p>
    <w:p>
      <w:r>
        <w:drawing>
          <wp:inline xmlns:a="http://schemas.openxmlformats.org/drawingml/2006/main" xmlns:pic="http://schemas.openxmlformats.org/drawingml/2006/picture">
            <wp:extent cx="39014400" cy="269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image_-27932971123732415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0" cy="269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/>
    </w:p>
    <w:p>
      <w:bookmarkStart w:id="1150" w:name="4-versioning-architecture"/>
      <w:pPr>
        <w:pStyle w:val="Heading2"/>
      </w:pPr>
      <w:r>
        <w:t>4. Versioning Architecture</w:t>
      </w:r>
      <w:r/>
      <w:bookmarkEnd w:id="1150"/>
    </w:p>
    <w:p>
      <w:r/>
      <w:r>
        <w:t xml:space="preserve">We adhere to a </w:t>
      </w:r>
      <w:r>
        <w:rPr>
          <w:b/>
        </w:rPr>
        <w:t>Single Source of Truth (SSOT)</w:t>
      </w:r>
      <w:r>
        <w:t xml:space="preserve"> robust versioning strategy.</w:t>
      </w:r>
      <w:r/>
    </w:p>
    <w:p>
      <w:bookmarkStart w:id="4279" w:name="the-source-of-truth"/>
      <w:pPr>
        <w:pStyle w:val="Heading3"/>
      </w:pPr>
      <w:r>
        <w:t>The Source of Truth</w:t>
      </w:r>
      <w:r/>
      <w:r/>
      <w:bookmarkEnd w:id="4279"/>
    </w:p>
    <w:p>
      <w:pPr>
        <w:pStyle w:val="ListBullet"/>
        <w:spacing w:line="240" w:lineRule="auto"/>
        <w:ind w:left="720"/>
      </w:pPr>
      <w:r/>
      <w:r>
        <w:rPr>
          <w:b/>
        </w:rPr>
        <w:t>File</w:t>
      </w:r>
      <w:r>
        <w:t xml:space="preserve">: </w:t>
      </w:r>
      <w:r>
        <w:rPr>
          <w:rFonts w:ascii="Courier" w:hAnsi="Courier"/>
        </w:rPr>
        <w:t>docnexus/version_info.py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Content</w:t>
      </w:r>
      <w:r>
        <w:t xml:space="preserve">: </w:t>
      </w:r>
      <w:r>
        <w:rPr>
          <w:rFonts w:ascii="Courier" w:hAnsi="Courier"/>
        </w:rPr>
        <w:t>__version__ = '1.2.x'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Role</w:t>
      </w:r>
      <w:r>
        <w:t xml:space="preserve">: This is the </w:t>
      </w:r>
      <w:r>
        <w:rPr>
          <w:i/>
        </w:rPr>
        <w:t>only</w:t>
      </w:r>
      <w:r>
        <w:t xml:space="preserve"> place the version number is hardcoded.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Sync</w:t>
      </w:r>
      <w:r>
        <w:t xml:space="preserve">: The root </w:t>
      </w:r>
      <w:r>
        <w:rPr>
          <w:rFonts w:ascii="Courier" w:hAnsi="Courier"/>
        </w:rPr>
        <w:t>VERSION</w:t>
      </w:r>
      <w:r>
        <w:t xml:space="preserve"> file is automatically updated from this source during build.</w:t>
      </w:r>
      <w:r/>
      <w:r/>
    </w:p>
    <w:p>
      <w:bookmarkStart w:id="6486" w:name="the-propagation-flow"/>
      <w:pPr>
        <w:pStyle w:val="Heading3"/>
      </w:pPr>
      <w:r>
        <w:t>The Propagation Flow</w:t>
      </w:r>
      <w:r/>
      <w:r/>
      <w:bookmarkEnd w:id="6486"/>
    </w:p>
    <w:p>
      <w:pPr>
        <w:pStyle w:val="ListNumber"/>
        <w:spacing w:line="240" w:lineRule="auto"/>
        <w:ind w:left="720"/>
      </w:pPr>
      <w:r/>
      <w:r>
        <w:rPr>
          <w:b/>
        </w:rPr>
        <w:t>Package Init</w:t>
      </w:r>
      <w:r>
        <w:t xml:space="preserve">: </w:t>
      </w:r>
      <w:r>
        <w:rPr>
          <w:rFonts w:ascii="Courier" w:hAnsi="Courier"/>
        </w:rPr>
        <w:t>docnexus/__init__.py</w:t>
      </w:r>
      <w:r>
        <w:t xml:space="preserve"> imports </w:t>
      </w:r>
      <w:r>
        <w:rPr>
          <w:rFonts w:ascii="Courier" w:hAnsi="Courier"/>
        </w:rPr>
        <w:t>__version__</w:t>
      </w:r>
      <w:r>
        <w:t xml:space="preserve"> from </w:t>
      </w:r>
      <w:r>
        <w:rPr>
          <w:rFonts w:ascii="Courier" w:hAnsi="Courier"/>
        </w:rPr>
        <w:t>version_info.py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Runtime App</w:t>
      </w:r>
      <w:r>
        <w:t xml:space="preserve">: </w:t>
      </w:r>
      <w:r>
        <w:rPr>
          <w:rFonts w:ascii="Courier" w:hAnsi="Courier"/>
        </w:rPr>
        <w:t>docnexus/app.py</w:t>
      </w:r>
      <w:r>
        <w:t xml:space="preserve"> imports </w:t>
      </w:r>
      <w:r>
        <w:rPr>
          <w:rFonts w:ascii="Courier" w:hAnsi="Courier"/>
        </w:rPr>
        <w:t>docnexus.version_info</w:t>
      </w:r>
      <w:r>
        <w:t xml:space="preserve"> to populate the </w:t>
      </w:r>
      <w:r>
        <w:rPr>
          <w:rFonts w:ascii="Courier" w:hAnsi="Courier"/>
        </w:rPr>
        <w:t>VERSION</w:t>
      </w:r>
      <w:r>
        <w:t xml:space="preserve"> constant.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Build System</w:t>
      </w:r>
      <w:r>
        <w:t xml:space="preserve">: </w:t>
      </w:r>
      <w:r>
        <w:rPr>
          <w:rFonts w:ascii="Courier" w:hAnsi="Courier"/>
        </w:rPr>
        <w:t>scripts/build.py</w:t>
      </w:r>
      <w:r>
        <w:t xml:space="preserve"> reads </w:t>
      </w:r>
      <w:r>
        <w:rPr>
          <w:rFonts w:ascii="Courier" w:hAnsi="Courier"/>
        </w:rPr>
        <w:t>version_info.py</w:t>
      </w:r>
      <w:r>
        <w:t xml:space="preserve"> directly from the filesystem to name the executable (e.g., </w:t>
      </w:r>
      <w:r>
        <w:rPr>
          <w:rFonts w:ascii="Courier" w:hAnsi="Courier"/>
        </w:rPr>
        <w:t>DocNexus_v1.2.0.exe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User Interface</w:t>
      </w:r>
      <w:r>
        <w:t xml:space="preserve">: </w:t>
      </w:r>
      <w:r>
        <w:rPr>
          <w:rFonts w:ascii="Courier" w:hAnsi="Courier"/>
        </w:rPr>
        <w:t>app.py</w:t>
      </w:r>
      <w:r>
        <w:t xml:space="preserve"> injects </w:t>
      </w:r>
      <w:r>
        <w:rPr>
          <w:rFonts w:ascii="Courier" w:hAnsi="Courier"/>
        </w:rPr>
        <w:t>version</w:t>
      </w:r>
      <w:r>
        <w:t xml:space="preserve"> into the global Jinja2 template context.</w:t>
      </w:r>
      <w:r/>
      <w:r/>
    </w:p>
    <w:p>
      <w:pPr>
        <w:pBdr>
          <w:bottom w:val="single" w:sz="6" w:space="1" w:color="auto"/>
        </w:pBdr>
      </w:pPr>
      <w:r/>
    </w:p>
    <w:p>
      <w:bookmarkStart w:id="718" w:name="5-module-breakdown"/>
      <w:pPr>
        <w:pStyle w:val="Heading2"/>
      </w:pPr>
      <w:r>
        <w:t>5. Module Breakdown</w:t>
      </w:r>
      <w:r/>
      <w:bookmarkEnd w:id="718"/>
    </w:p>
    <w:p>
      <w:bookmarkStart w:id="4846" w:name="docnexuscore"/>
      <w:pPr>
        <w:pStyle w:val="Heading3"/>
      </w:pPr>
      <w:r>
        <w:rPr>
          <w:rFonts w:ascii="Courier" w:hAnsi="Courier"/>
        </w:rPr>
        <w:t>docnexus.core</w:t>
      </w:r>
      <w:r/>
      <w:bookmarkEnd w:id="4846"/>
    </w:p>
    <w:p>
      <w:r/>
      <w:r>
        <w:t>The engine room.</w:t>
        <w:br/>
      </w:r>
      <w:r>
        <w:t xml:space="preserve">* </w:t>
      </w:r>
      <w:r>
        <w:rPr>
          <w:rFonts w:ascii="Courier" w:hAnsi="Courier"/>
        </w:rPr>
        <w:t>renderer.py</w:t>
      </w:r>
      <w:r>
        <w:t>: Orchestrates the markdown-to-html conversion.</w:t>
        <w:br/>
      </w:r>
      <w:r>
        <w:t xml:space="preserve">* </w:t>
      </w:r>
      <w:r>
        <w:rPr>
          <w:rFonts w:ascii="Courier" w:hAnsi="Courier"/>
        </w:rPr>
        <w:t>loader.py</w:t>
      </w:r>
      <w:r>
        <w:t>: Handles plugin discovery, dependency injection, and loading in both Dev and Frozen environments.</w:t>
        <w:br/>
      </w:r>
      <w:r>
        <w:t xml:space="preserve">* </w:t>
      </w:r>
      <w:r>
        <w:rPr>
          <w:rFonts w:ascii="Courier" w:hAnsi="Courier"/>
        </w:rPr>
        <w:t>state.py</w:t>
      </w:r>
      <w:r>
        <w:t xml:space="preserve">: Manages the persistence of plugin states (Enabled/Disabled) via </w:t>
      </w:r>
      <w:r>
        <w:rPr>
          <w:rFonts w:ascii="Courier" w:hAnsi="Courier"/>
        </w:rPr>
        <w:t>plugins.json</w:t>
      </w:r>
      <w:r>
        <w:t>.</w:t>
      </w:r>
      <w:r/>
    </w:p>
    <w:p>
      <w:bookmarkStart w:id="8403" w:name="docnexusfeatures"/>
      <w:pPr>
        <w:pStyle w:val="Heading3"/>
      </w:pPr>
      <w:r>
        <w:rPr>
          <w:rFonts w:ascii="Courier" w:hAnsi="Courier"/>
        </w:rPr>
        <w:t>docnexus.features</w:t>
      </w:r>
      <w:r/>
      <w:bookmarkEnd w:id="8403"/>
    </w:p>
    <w:p>
      <w:r/>
      <w:r>
        <w:t>The "Plugin" system for core features.</w:t>
        <w:br/>
      </w:r>
      <w:r>
        <w:t xml:space="preserve">* </w:t>
      </w:r>
      <w:r>
        <w:rPr>
          <w:b/>
        </w:rPr>
        <w:t>Registry</w:t>
      </w:r>
      <w:r>
        <w:t>: Singleton managing active features.</w:t>
        <w:br/>
      </w:r>
      <w:r>
        <w:t xml:space="preserve">* </w:t>
      </w:r>
      <w:r>
        <w:rPr>
          <w:b/>
        </w:rPr>
        <w:t>FeatureManager</w:t>
      </w:r>
      <w:r>
        <w:t>: The global access point (</w:t>
      </w:r>
      <w:r>
        <w:rPr>
          <w:rFonts w:ascii="Courier" w:hAnsi="Courier"/>
        </w:rPr>
        <w:t>FEATURES</w:t>
      </w:r>
      <w:r>
        <w:t>) acting as a facade.</w:t>
        <w:br/>
      </w:r>
      <w:r>
        <w:t xml:space="preserve">* </w:t>
      </w:r>
      <w:r>
        <w:rPr>
          <w:b/>
        </w:rPr>
        <w:t>Standard</w:t>
      </w:r>
      <w:r>
        <w:t>: Baseline features (TOC, Headers).</w:t>
        <w:br/>
      </w:r>
      <w:r>
        <w:t xml:space="preserve">* </w:t>
      </w:r>
      <w:r>
        <w:rPr>
          <w:b/>
        </w:rPr>
        <w:t>Smart</w:t>
      </w:r>
      <w:r>
        <w:t>: Advanced AI/Regex features.</w:t>
      </w:r>
      <w:r/>
    </w:p>
    <w:p>
      <w:bookmarkStart w:id="3136" w:name="docnexusplugins"/>
      <w:pPr>
        <w:pStyle w:val="Heading3"/>
      </w:pPr>
      <w:r>
        <w:rPr>
          <w:rFonts w:ascii="Courier" w:hAnsi="Courier"/>
        </w:rPr>
        <w:t>docnexus.plugins</w:t>
      </w:r>
      <w:r/>
      <w:bookmarkEnd w:id="3136"/>
    </w:p>
    <w:p>
      <w:r/>
      <w:r>
        <w:t>User-installable extensions isolated in their own packages.</w:t>
        <w:br/>
      </w:r>
      <w:r>
        <w:t xml:space="preserve">* </w:t>
      </w:r>
      <w:r>
        <w:rPr>
          <w:b/>
        </w:rPr>
        <w:t>Bundled</w:t>
      </w:r>
      <w:r>
        <w:t>: Essential plugins (Word Export, Auth) shipped with the exe.</w:t>
        <w:br/>
      </w:r>
      <w:r>
        <w:t xml:space="preserve">* </w:t>
      </w:r>
      <w:r>
        <w:rPr>
          <w:b/>
        </w:rPr>
        <w:t>Dev</w:t>
      </w:r>
      <w:r>
        <w:t>: Optional/Premium plugins.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docnexus-architecture-logic-flows" TargetMode="External"/><Relationship Id="rId10" Type="http://schemas.openxmlformats.org/officeDocument/2006/relationships/hyperlink" Target="#1-functional-layout-block-design" TargetMode="External"/><Relationship Id="rId11" Type="http://schemas.openxmlformats.org/officeDocument/2006/relationships/hyperlink" Target="#2-low-level-architecture-class-design" TargetMode="External"/><Relationship Id="rId12" Type="http://schemas.openxmlformats.org/officeDocument/2006/relationships/hyperlink" Target="#3-detailed-logic-flows" TargetMode="External"/><Relationship Id="rId13" Type="http://schemas.openxmlformats.org/officeDocument/2006/relationships/hyperlink" Target="#a-application-startup-deep-dive" TargetMode="External"/><Relationship Id="rId14" Type="http://schemas.openxmlformats.org/officeDocument/2006/relationships/hyperlink" Target="#b-document-rendering-pipeline" TargetMode="External"/><Relationship Id="rId15" Type="http://schemas.openxmlformats.org/officeDocument/2006/relationships/hyperlink" Target="#c-export-request-flow" TargetMode="External"/><Relationship Id="rId16" Type="http://schemas.openxmlformats.org/officeDocument/2006/relationships/hyperlink" Target="#d-extension-management-flow" TargetMode="External"/><Relationship Id="rId17" Type="http://schemas.openxmlformats.org/officeDocument/2006/relationships/hyperlink" Target="#4-versioning-architecture" TargetMode="External"/><Relationship Id="rId18" Type="http://schemas.openxmlformats.org/officeDocument/2006/relationships/hyperlink" Target="#the-source-of-truth" TargetMode="External"/><Relationship Id="rId19" Type="http://schemas.openxmlformats.org/officeDocument/2006/relationships/hyperlink" Target="#the-propagation-flow" TargetMode="External"/><Relationship Id="rId20" Type="http://schemas.openxmlformats.org/officeDocument/2006/relationships/hyperlink" Target="#5-module-breakdown" TargetMode="External"/><Relationship Id="rId21" Type="http://schemas.openxmlformats.org/officeDocument/2006/relationships/hyperlink" Target="#docnexuscore" TargetMode="External"/><Relationship Id="rId22" Type="http://schemas.openxmlformats.org/officeDocument/2006/relationships/hyperlink" Target="#docnexusfeatures" TargetMode="External"/><Relationship Id="rId23" Type="http://schemas.openxmlformats.org/officeDocument/2006/relationships/hyperlink" Target="#docnexusplugins" TargetMode="External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