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sz w:val="32"/>
        </w:rPr>
        <w:t>FACOLD ENTERPRISE</w:t>
      </w:r>
    </w:p>
    <w:p>
      <w:pPr>
        <w:spacing w:after="40"/>
        <w:jc w:val="center"/>
      </w:pPr>
      <w:r>
        <w:rPr>
          <w:rFonts w:ascii="Times New Roman" w:hAnsi="Times New Roman" w:cs="Times New Roman" w:eastAsia="Times New Roman"/>
          <w:b w:val="0"/>
          <w:i/>
          <w:sz w:val="24"/>
        </w:rPr>
        <w:t>Organisation Strengthening  •  MERL and Results-Based Management  •  Gender and Social Inclusion</w:t>
      </w:r>
    </w:p>
    <w:p>
      <w:pPr>
        <w:spacing w:after="40"/>
        <w:jc w:val="center"/>
      </w:pPr>
      <w:r>
        <w:rPr>
          <w:rFonts w:ascii="Times New Roman" w:hAnsi="Times New Roman" w:cs="Times New Roman" w:eastAsia="Times New Roman"/>
          <w:b w:val="0"/>
          <w:i w:val="0"/>
          <w:sz w:val="24"/>
        </w:rPr>
        <w:t>C/O Mr B. Kumwenda, Nation Publications Limited, P.O. Box 30408, Chichiri, Blantyre 3, Malawi  •  Tel: +265 881 457 142 / +265 993 371 146  •  Email: mayakumwenda7@gmail.com</w:t>
      </w:r>
    </w:p>
    <w:p>
      <w:pPr>
        <w:spacing w:after="160"/>
        <w:jc w:val="center"/>
        <w:pBdr>
          <w:bottom w:val="single" w:sz="12" w:space="4" w:color="000000"/>
        </w:pBdr>
      </w:pPr>
      <w:r>
        <w:rPr>
          <w:rFonts w:ascii="Times New Roman" w:hAnsi="Times New Roman" w:cs="Times New Roman" w:eastAsia="Times New Roman"/>
          <w:b w:val="0"/>
          <w:i w:val="0"/>
          <w:sz w:val="24"/>
        </w:rPr>
        <w:t>Business Registration No. BRN-KGSDWL6P  •  MRA TPIN: 71426102  •  Blantyre, Southern Region, Malawi</w:t>
      </w:r>
    </w:p>
    <w:p>
      <w:pPr>
        <w:spacing w:after="60"/>
        <w:jc w:val="center"/>
      </w:pPr>
      <w:r>
        <w:rPr>
          <w:rFonts w:ascii="Times New Roman" w:hAnsi="Times New Roman" w:cs="Times New Roman" w:eastAsia="Times New Roman"/>
          <w:b/>
          <w:i w:val="0"/>
          <w:sz w:val="32"/>
        </w:rPr>
        <w:t>COMPANY PROFILE</w:t>
      </w:r>
    </w:p>
    <w:p>
      <w:pPr>
        <w:spacing w:after="60"/>
        <w:jc w:val="center"/>
      </w:pPr>
      <w:r>
        <w:rPr>
          <w:rFonts w:ascii="Times New Roman" w:hAnsi="Times New Roman" w:cs="Times New Roman" w:eastAsia="Times New Roman"/>
          <w:b/>
          <w:i w:val="0"/>
          <w:sz w:val="24"/>
        </w:rPr>
        <w:t>FACOLD Enterprise — Local Organisation Strengthening Services for CSOs and CBOs in Malawi</w:t>
      </w:r>
    </w:p>
    <w:p>
      <w:pPr>
        <w:spacing w:after="120"/>
        <w:jc w:val="center"/>
      </w:pPr>
      <w:r>
        <w:rPr>
          <w:rFonts w:ascii="Times New Roman" w:hAnsi="Times New Roman" w:cs="Times New Roman" w:eastAsia="Times New Roman"/>
          <w:b w:val="0"/>
          <w:i/>
          <w:sz w:val="24"/>
        </w:rPr>
        <w:t>Prepared for: Tilitonse Foundation Local Organization Strengthening Service Providers Database  •  27 October 2026</w:t>
      </w:r>
    </w:p>
    <w:p>
      <w:pPr>
        <w:keepNext/>
        <w:spacing w:before="200" w:after="80"/>
      </w:pPr>
      <w:r>
        <w:rPr>
          <w:rFonts w:ascii="Times New Roman" w:hAnsi="Times New Roman" w:cs="Times New Roman" w:eastAsia="Times New Roman"/>
          <w:b/>
          <w:i w:val="0"/>
          <w:sz w:val="24"/>
        </w:rPr>
        <w:t>1. ABOUT FACOLD ENTERPRISE</w:t>
      </w:r>
    </w:p>
    <w:p>
      <w:pPr>
        <w:spacing w:after="120"/>
        <w:jc w:val="both"/>
      </w:pPr>
      <w:r>
        <w:rPr>
          <w:rFonts w:ascii="Times New Roman" w:hAnsi="Times New Roman" w:cs="Times New Roman" w:eastAsia="Times New Roman"/>
          <w:b w:val="0"/>
          <w:i w:val="0"/>
          <w:sz w:val="24"/>
        </w:rPr>
        <w:t>FACOLD Enterprise is a Malawian, Blantyre-based consultancy established to provide practical organisation-strengthening, programme-design, MERL and learning support to local Civil Society Organisations (CSOs), Community Based Organisations (CBOs) and their partners. The Enterprise is owned and led by Ms Malumbo Kumwenda, a programme manager, facilitator and monitoring and evaluation professional. Every assignment is led and delivered personally by the Lead Consultant, ensuring that clients engage directly with the expert accountable for quality. Where specialist additional capacity is required, vetted associates work under her supervision with prior client approval of their curricula vitae.</w:t>
      </w:r>
    </w:p>
    <w:p>
      <w:pPr>
        <w:spacing w:after="120"/>
        <w:jc w:val="both"/>
      </w:pPr>
      <w:r>
        <w:rPr>
          <w:rFonts w:ascii="Times New Roman" w:hAnsi="Times New Roman" w:cs="Times New Roman" w:eastAsia="Times New Roman"/>
          <w:b w:val="0"/>
          <w:i w:val="0"/>
          <w:sz w:val="24"/>
        </w:rPr>
        <w:t>FACOLD Enterprise was formally registered in September 2026 to consolidate the Lead Consultant’s prior professional track record — gained with Green Girls Organization, LYFT AFRICA, Inter Aide, FISD Limited and the Malawi Red Cross Society — into an independent local service provider available for short-term, demand-driven assignments across Malawi. The Enterprise does not claim a separate institutional history beyond that track record; its credibility rests transparently on the Lead Consultant’s demonstrated work, verified through the accompanying Curriculum Vitae, track-record document and contactable references.</w:t>
      </w:r>
    </w:p>
    <w:p>
      <w:pPr>
        <w:keepNext/>
        <w:spacing w:before="160" w:after="60"/>
      </w:pPr>
      <w:r>
        <w:rPr>
          <w:rFonts w:ascii="Times New Roman" w:hAnsi="Times New Roman" w:cs="Times New Roman" w:eastAsia="Times New Roman"/>
          <w:b/>
          <w:i/>
          <w:sz w:val="24"/>
        </w:rPr>
        <w:t>Legal and contact information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2381"/>
            <w:shd w:fill="D9D9D9" w:val="clear"/>
          </w:tcPr>
          <w:p>
            <w:pPr>
              <w:spacing w:after="40"/>
            </w:pPr>
            <w:r>
              <w:rPr>
                <w:rFonts w:ascii="Times New Roman" w:hAnsi="Times New Roman" w:cs="Times New Roman" w:eastAsia="Times New Roman"/>
                <w:b/>
                <w:i w:val="0"/>
                <w:sz w:val="24"/>
              </w:rPr>
              <w:t>Item</w:t>
            </w:r>
          </w:p>
        </w:tc>
        <w:tc>
          <w:tcPr>
            <w:tcW w:type="dxa" w:w="6917"/>
            <w:shd w:fill="D9D9D9" w:val="clear"/>
          </w:tcPr>
          <w:p>
            <w:pPr>
              <w:spacing w:after="40"/>
            </w:pPr>
            <w:r>
              <w:rPr>
                <w:rFonts w:ascii="Times New Roman" w:hAnsi="Times New Roman" w:cs="Times New Roman" w:eastAsia="Times New Roman"/>
                <w:b/>
                <w:i w:val="0"/>
                <w:sz w:val="24"/>
              </w:rPr>
              <w:t>Details</w:t>
            </w:r>
          </w:p>
        </w:tc>
      </w:tr>
      <w:tr>
        <w:tc>
          <w:tcPr>
            <w:tcW w:type="dxa" w:w="2381"/>
          </w:tcPr>
          <w:p>
            <w:pPr>
              <w:spacing w:after="40"/>
              <w:jc w:val="left"/>
            </w:pPr>
            <w:r>
              <w:rPr>
                <w:rFonts w:ascii="Times New Roman" w:hAnsi="Times New Roman" w:cs="Times New Roman" w:eastAsia="Times New Roman"/>
                <w:b w:val="0"/>
                <w:i w:val="0"/>
                <w:sz w:val="24"/>
              </w:rPr>
              <w:t>Trading name</w:t>
            </w:r>
          </w:p>
        </w:tc>
        <w:tc>
          <w:tcPr>
            <w:tcW w:type="dxa" w:w="6917"/>
          </w:tcPr>
          <w:p>
            <w:pPr>
              <w:spacing w:after="40"/>
              <w:jc w:val="left"/>
            </w:pPr>
            <w:r>
              <w:rPr>
                <w:rFonts w:ascii="Times New Roman" w:hAnsi="Times New Roman" w:cs="Times New Roman" w:eastAsia="Times New Roman"/>
                <w:b w:val="0"/>
                <w:i w:val="0"/>
                <w:sz w:val="24"/>
              </w:rPr>
              <w:t>FACOLD Enterprise</w:t>
            </w:r>
          </w:p>
        </w:tc>
      </w:tr>
      <w:tr>
        <w:tc>
          <w:tcPr>
            <w:tcW w:type="dxa" w:w="2381"/>
          </w:tcPr>
          <w:p>
            <w:pPr>
              <w:spacing w:after="40"/>
              <w:jc w:val="left"/>
            </w:pPr>
            <w:r>
              <w:rPr>
                <w:rFonts w:ascii="Times New Roman" w:hAnsi="Times New Roman" w:cs="Times New Roman" w:eastAsia="Times New Roman"/>
                <w:b w:val="0"/>
                <w:i w:val="0"/>
                <w:sz w:val="24"/>
              </w:rPr>
              <w:t>Legal form and proprietor</w:t>
            </w:r>
          </w:p>
        </w:tc>
        <w:tc>
          <w:tcPr>
            <w:tcW w:type="dxa" w:w="6917"/>
          </w:tcPr>
          <w:p>
            <w:pPr>
              <w:spacing w:after="40"/>
              <w:jc w:val="left"/>
            </w:pPr>
            <w:r>
              <w:rPr>
                <w:rFonts w:ascii="Times New Roman" w:hAnsi="Times New Roman" w:cs="Times New Roman" w:eastAsia="Times New Roman"/>
                <w:b w:val="0"/>
                <w:i w:val="0"/>
                <w:sz w:val="24"/>
              </w:rPr>
              <w:t>Sole proprietor enterprise — Malumbo Kumwenda trading as FACOLD Enterprise</w:t>
            </w:r>
          </w:p>
        </w:tc>
      </w:tr>
      <w:tr>
        <w:tc>
          <w:tcPr>
            <w:tcW w:type="dxa" w:w="2381"/>
          </w:tcPr>
          <w:p>
            <w:pPr>
              <w:spacing w:after="40"/>
              <w:jc w:val="left"/>
            </w:pPr>
            <w:r>
              <w:rPr>
                <w:rFonts w:ascii="Times New Roman" w:hAnsi="Times New Roman" w:cs="Times New Roman" w:eastAsia="Times New Roman"/>
                <w:b w:val="0"/>
                <w:i w:val="0"/>
                <w:sz w:val="24"/>
              </w:rPr>
              <w:t>Business registration</w:t>
            </w:r>
          </w:p>
        </w:tc>
        <w:tc>
          <w:tcPr>
            <w:tcW w:type="dxa" w:w="6917"/>
          </w:tcPr>
          <w:p>
            <w:pPr>
              <w:spacing w:after="40"/>
              <w:jc w:val="left"/>
            </w:pPr>
            <w:r>
              <w:rPr>
                <w:rFonts w:ascii="Times New Roman" w:hAnsi="Times New Roman" w:cs="Times New Roman" w:eastAsia="Times New Roman"/>
                <w:b w:val="0"/>
                <w:i w:val="0"/>
                <w:sz w:val="24"/>
              </w:rPr>
              <w:t>Registered under the Business Registration Act (No. 12 of 2012)</w:t>
            </w:r>
          </w:p>
          <w:p>
            <w:pPr>
              <w:spacing w:after="40"/>
              <w:jc w:val="left"/>
            </w:pPr>
            <w:r>
              <w:rPr>
                <w:rFonts w:ascii="Times New Roman" w:hAnsi="Times New Roman" w:cs="Times New Roman" w:eastAsia="Times New Roman"/>
                <w:b w:val="0"/>
                <w:i w:val="0"/>
                <w:sz w:val="24"/>
              </w:rPr>
              <w:t>Registration No. BRN-KGSDWL6P</w:t>
            </w:r>
          </w:p>
          <w:p>
            <w:pPr>
              <w:spacing w:after="40"/>
              <w:jc w:val="left"/>
            </w:pPr>
            <w:r>
              <w:rPr>
                <w:rFonts w:ascii="Times New Roman" w:hAnsi="Times New Roman" w:cs="Times New Roman" w:eastAsia="Times New Roman"/>
                <w:b w:val="0"/>
                <w:i w:val="0"/>
                <w:sz w:val="24"/>
              </w:rPr>
              <w:t>Registered: 25 September 2026 (Blantyre); current certificate expires 25 September 2029</w:t>
            </w:r>
          </w:p>
          <w:p>
            <w:pPr>
              <w:spacing w:after="40"/>
              <w:jc w:val="left"/>
            </w:pPr>
            <w:r>
              <w:rPr>
                <w:rFonts w:ascii="Times New Roman" w:hAnsi="Times New Roman" w:cs="Times New Roman" w:eastAsia="Times New Roman"/>
                <w:b w:val="0"/>
                <w:i w:val="0"/>
                <w:sz w:val="24"/>
              </w:rPr>
              <w:t>Business activity code: ISIC M-74-749-7490</w:t>
            </w:r>
          </w:p>
        </w:tc>
      </w:tr>
      <w:tr>
        <w:tc>
          <w:tcPr>
            <w:tcW w:type="dxa" w:w="2381"/>
          </w:tcPr>
          <w:p>
            <w:pPr>
              <w:spacing w:after="40"/>
              <w:jc w:val="left"/>
            </w:pPr>
            <w:r>
              <w:rPr>
                <w:rFonts w:ascii="Times New Roman" w:hAnsi="Times New Roman" w:cs="Times New Roman" w:eastAsia="Times New Roman"/>
                <w:b w:val="0"/>
                <w:i w:val="0"/>
                <w:sz w:val="24"/>
              </w:rPr>
              <w:t>Tax registration</w:t>
            </w:r>
          </w:p>
        </w:tc>
        <w:tc>
          <w:tcPr>
            <w:tcW w:type="dxa" w:w="6917"/>
          </w:tcPr>
          <w:p>
            <w:pPr>
              <w:spacing w:after="40"/>
              <w:jc w:val="left"/>
            </w:pPr>
            <w:r>
              <w:rPr>
                <w:rFonts w:ascii="Times New Roman" w:hAnsi="Times New Roman" w:cs="Times New Roman" w:eastAsia="Times New Roman"/>
                <w:b w:val="0"/>
                <w:i w:val="0"/>
                <w:sz w:val="24"/>
              </w:rPr>
              <w:t>Malawi Revenue Authority TPIN: 71426102</w:t>
            </w:r>
          </w:p>
          <w:p>
            <w:pPr>
              <w:spacing w:after="40"/>
              <w:jc w:val="left"/>
            </w:pPr>
            <w:r>
              <w:rPr>
                <w:rFonts w:ascii="Times New Roman" w:hAnsi="Times New Roman" w:cs="Times New Roman" w:eastAsia="Times New Roman"/>
                <w:b w:val="0"/>
                <w:i w:val="0"/>
                <w:sz w:val="24"/>
              </w:rPr>
              <w:t>Certificate No. MRA/TIN/BSTO/00417547</w:t>
            </w:r>
          </w:p>
          <w:p>
            <w:pPr>
              <w:spacing w:after="40"/>
              <w:jc w:val="left"/>
            </w:pPr>
            <w:r>
              <w:rPr>
                <w:rFonts w:ascii="Times New Roman" w:hAnsi="Times New Roman" w:cs="Times New Roman" w:eastAsia="Times New Roman"/>
                <w:b w:val="0"/>
                <w:i w:val="0"/>
                <w:sz w:val="24"/>
              </w:rPr>
              <w:t>Effective/issued: 11 August 2026</w:t>
            </w:r>
          </w:p>
        </w:tc>
      </w:tr>
      <w:tr>
        <w:tc>
          <w:tcPr>
            <w:tcW w:type="dxa" w:w="2381"/>
          </w:tcPr>
          <w:p>
            <w:pPr>
              <w:spacing w:after="40"/>
              <w:jc w:val="left"/>
            </w:pPr>
            <w:r>
              <w:rPr>
                <w:rFonts w:ascii="Times New Roman" w:hAnsi="Times New Roman" w:cs="Times New Roman" w:eastAsia="Times New Roman"/>
                <w:b w:val="0"/>
                <w:i w:val="0"/>
                <w:sz w:val="24"/>
              </w:rPr>
              <w:t>Business location</w:t>
            </w:r>
          </w:p>
        </w:tc>
        <w:tc>
          <w:tcPr>
            <w:tcW w:type="dxa" w:w="6917"/>
          </w:tcPr>
          <w:p>
            <w:pPr>
              <w:spacing w:after="40"/>
              <w:jc w:val="left"/>
            </w:pPr>
            <w:r>
              <w:rPr>
                <w:rFonts w:ascii="Times New Roman" w:hAnsi="Times New Roman" w:cs="Times New Roman" w:eastAsia="Times New Roman"/>
                <w:b w:val="0"/>
                <w:i w:val="0"/>
                <w:sz w:val="24"/>
              </w:rPr>
              <w:t>Blantyre Urban, Blantyre, Southern Region, Malawi (assignments delivered across Malawi)</w:t>
            </w:r>
          </w:p>
        </w:tc>
      </w:tr>
      <w:tr>
        <w:tc>
          <w:tcPr>
            <w:tcW w:type="dxa" w:w="2381"/>
          </w:tcPr>
          <w:p>
            <w:pPr>
              <w:spacing w:after="40"/>
              <w:jc w:val="left"/>
            </w:pPr>
            <w:r>
              <w:rPr>
                <w:rFonts w:ascii="Times New Roman" w:hAnsi="Times New Roman" w:cs="Times New Roman" w:eastAsia="Times New Roman"/>
                <w:b w:val="0"/>
                <w:i w:val="0"/>
                <w:sz w:val="24"/>
              </w:rPr>
              <w:t>Postal address</w:t>
            </w:r>
          </w:p>
        </w:tc>
        <w:tc>
          <w:tcPr>
            <w:tcW w:type="dxa" w:w="6917"/>
          </w:tcPr>
          <w:p>
            <w:pPr>
              <w:spacing w:after="40"/>
              <w:jc w:val="left"/>
            </w:pPr>
            <w:r>
              <w:rPr>
                <w:rFonts w:ascii="Times New Roman" w:hAnsi="Times New Roman" w:cs="Times New Roman" w:eastAsia="Times New Roman"/>
                <w:b w:val="0"/>
                <w:i w:val="0"/>
                <w:sz w:val="24"/>
              </w:rPr>
              <w:t>C/O Mr B. Kumwenda, Nation Publications Limited, P.O. Box 30408, Chichiri, Blantyre 3, Malawi</w:t>
            </w:r>
          </w:p>
        </w:tc>
      </w:tr>
      <w:tr>
        <w:tc>
          <w:tcPr>
            <w:tcW w:type="dxa" w:w="2381"/>
          </w:tcPr>
          <w:p>
            <w:pPr>
              <w:spacing w:after="40"/>
              <w:jc w:val="left"/>
            </w:pPr>
            <w:r>
              <w:rPr>
                <w:rFonts w:ascii="Times New Roman" w:hAnsi="Times New Roman" w:cs="Times New Roman" w:eastAsia="Times New Roman"/>
                <w:b w:val="0"/>
                <w:i w:val="0"/>
                <w:sz w:val="24"/>
              </w:rPr>
              <w:t>Lead Consultant</w:t>
            </w:r>
          </w:p>
        </w:tc>
        <w:tc>
          <w:tcPr>
            <w:tcW w:type="dxa" w:w="6917"/>
          </w:tcPr>
          <w:p>
            <w:pPr>
              <w:spacing w:after="40"/>
              <w:jc w:val="left"/>
            </w:pPr>
            <w:r>
              <w:rPr>
                <w:rFonts w:ascii="Times New Roman" w:hAnsi="Times New Roman" w:cs="Times New Roman" w:eastAsia="Times New Roman"/>
                <w:b w:val="0"/>
                <w:i w:val="0"/>
                <w:sz w:val="24"/>
              </w:rPr>
              <w:t>Malumbo Kumwenda — Lead Consultant and Sole Proprietor</w:t>
            </w:r>
          </w:p>
        </w:tc>
      </w:tr>
      <w:tr>
        <w:tc>
          <w:tcPr>
            <w:tcW w:type="dxa" w:w="2381"/>
          </w:tcPr>
          <w:p>
            <w:pPr>
              <w:spacing w:after="40"/>
              <w:jc w:val="left"/>
            </w:pPr>
            <w:r>
              <w:rPr>
                <w:rFonts w:ascii="Times New Roman" w:hAnsi="Times New Roman" w:cs="Times New Roman" w:eastAsia="Times New Roman"/>
                <w:b w:val="0"/>
                <w:i w:val="0"/>
                <w:sz w:val="24"/>
              </w:rPr>
              <w:t>Telephone / Email</w:t>
            </w:r>
          </w:p>
        </w:tc>
        <w:tc>
          <w:tcPr>
            <w:tcW w:type="dxa" w:w="6917"/>
          </w:tcPr>
          <w:p>
            <w:pPr>
              <w:spacing w:after="40"/>
              <w:jc w:val="left"/>
            </w:pPr>
            <w:r>
              <w:rPr>
                <w:rFonts w:ascii="Times New Roman" w:hAnsi="Times New Roman" w:cs="Times New Roman" w:eastAsia="Times New Roman"/>
                <w:b w:val="0"/>
                <w:i w:val="0"/>
                <w:sz w:val="24"/>
              </w:rPr>
              <w:t>+265 881 457 142 / +265 993 371 146</w:t>
            </w:r>
          </w:p>
          <w:p>
            <w:pPr>
              <w:spacing w:after="40"/>
              <w:jc w:val="left"/>
            </w:pPr>
            <w:r>
              <w:rPr>
                <w:rFonts w:ascii="Times New Roman" w:hAnsi="Times New Roman" w:cs="Times New Roman" w:eastAsia="Times New Roman"/>
                <w:b w:val="0"/>
                <w:i w:val="0"/>
                <w:sz w:val="24"/>
              </w:rPr>
              <w:t>mayakumwenda7@gmail.com</w:t>
            </w:r>
          </w:p>
        </w:tc>
      </w:tr>
    </w:tbl>
    <w:p>
      <w:pPr>
        <w:spacing w:after="40"/>
      </w:pPr>
    </w:p>
    <w:p>
      <w:pPr>
        <w:keepNext/>
        <w:spacing w:before="200" w:after="80"/>
      </w:pPr>
      <w:r>
        <w:rPr>
          <w:rFonts w:ascii="Times New Roman" w:hAnsi="Times New Roman" w:cs="Times New Roman" w:eastAsia="Times New Roman"/>
          <w:b/>
          <w:i w:val="0"/>
          <w:sz w:val="24"/>
        </w:rPr>
        <w:t>2. PURPOSE AND APPROACH</w:t>
      </w:r>
    </w:p>
    <w:p>
      <w:pPr>
        <w:spacing w:after="120"/>
        <w:jc w:val="both"/>
      </w:pPr>
      <w:r>
        <w:rPr>
          <w:rFonts w:ascii="Times New Roman" w:hAnsi="Times New Roman" w:cs="Times New Roman" w:eastAsia="Times New Roman"/>
          <w:b/>
          <w:i w:val="0"/>
          <w:sz w:val="24"/>
        </w:rPr>
        <w:t xml:space="preserve">Purpose. </w:t>
      </w:r>
      <w:r>
        <w:rPr>
          <w:rFonts w:ascii="Times New Roman" w:hAnsi="Times New Roman" w:cs="Times New Roman" w:eastAsia="Times New Roman"/>
          <w:b w:val="0"/>
          <w:i w:val="0"/>
          <w:sz w:val="24"/>
        </w:rPr>
        <w:t>To strengthen Malawian CSOs and CBOs to operate effectively, demonstrate results, learn and adapt, and serve their communities with growing independence and resilience.</w:t>
      </w:r>
    </w:p>
    <w:p>
      <w:pPr>
        <w:spacing w:after="120"/>
        <w:jc w:val="both"/>
      </w:pPr>
      <w:r>
        <w:rPr>
          <w:rFonts w:ascii="Times New Roman" w:hAnsi="Times New Roman" w:cs="Times New Roman" w:eastAsia="Times New Roman"/>
          <w:b w:val="0"/>
          <w:i w:val="0"/>
          <w:sz w:val="24"/>
        </w:rPr>
        <w:t>Consistent with Shift the Power principles, FACOLD Enterprise strengthens from alongside, not from above. We do not substitute for client staff, import unadapted templates, or create dependence on the consultant. Our working principles are:</w:t>
      </w:r>
    </w:p>
    <w:p>
      <w:pPr>
        <w:pStyle w:val="ListBullet"/>
        <w:spacing w:after="60"/>
        <w:jc w:val="both"/>
      </w:pPr>
      <w:r>
        <w:rPr>
          <w:rFonts w:ascii="Times New Roman" w:hAnsi="Times New Roman" w:cs="Times New Roman" w:eastAsia="Times New Roman"/>
          <w:b w:val="0"/>
          <w:i w:val="0"/>
          <w:sz w:val="24"/>
        </w:rPr>
        <w:t>Locally led: priorities, pace and success measures are set with the organisation and, where relevant, its community structures.</w:t>
      </w:r>
    </w:p>
    <w:p>
      <w:pPr>
        <w:pStyle w:val="ListBullet"/>
        <w:spacing w:after="60"/>
        <w:jc w:val="both"/>
      </w:pPr>
      <w:r>
        <w:rPr>
          <w:rFonts w:ascii="Times New Roman" w:hAnsi="Times New Roman" w:cs="Times New Roman" w:eastAsia="Times New Roman"/>
          <w:b w:val="0"/>
          <w:i w:val="0"/>
          <w:sz w:val="24"/>
        </w:rPr>
        <w:t>Build and hand over: every framework, tool or report is co-created, documented in plain language, and left with staff coached to use and update it.</w:t>
      </w:r>
    </w:p>
    <w:p>
      <w:pPr>
        <w:pStyle w:val="ListBullet"/>
        <w:spacing w:after="60"/>
        <w:jc w:val="both"/>
      </w:pPr>
      <w:r>
        <w:rPr>
          <w:rFonts w:ascii="Times New Roman" w:hAnsi="Times New Roman" w:cs="Times New Roman" w:eastAsia="Times New Roman"/>
          <w:b w:val="0"/>
          <w:i w:val="0"/>
          <w:sz w:val="24"/>
        </w:rPr>
        <w:t>Proportionate and practical: systems are sized for small and medium-sized organisations — rigorous enough for accountability, simple enough for sustained use, including offline-capable options.</w:t>
      </w:r>
    </w:p>
    <w:p>
      <w:pPr>
        <w:pStyle w:val="ListBullet"/>
        <w:spacing w:after="60"/>
        <w:jc w:val="both"/>
      </w:pPr>
      <w:r>
        <w:rPr>
          <w:rFonts w:ascii="Times New Roman" w:hAnsi="Times New Roman" w:cs="Times New Roman" w:eastAsia="Times New Roman"/>
          <w:b w:val="0"/>
          <w:i w:val="0"/>
          <w:sz w:val="24"/>
        </w:rPr>
        <w:t>Evidence and learning: decisions are grounded in credible data, community feedback and reflection on what works, for whom, and why.</w:t>
      </w:r>
    </w:p>
    <w:p>
      <w:pPr>
        <w:pStyle w:val="ListBullet"/>
        <w:spacing w:after="60"/>
        <w:jc w:val="both"/>
      </w:pPr>
      <w:r>
        <w:rPr>
          <w:rFonts w:ascii="Times New Roman" w:hAnsi="Times New Roman" w:cs="Times New Roman" w:eastAsia="Times New Roman"/>
          <w:b w:val="0"/>
          <w:i w:val="0"/>
          <w:sz w:val="24"/>
        </w:rPr>
        <w:t>Inclusive and safe: gender and social inclusion are designed in from the start, with safeguarding-aware, do-no-harm and confidential handling of people and data, in compliance with client and Foundation policies.</w:t>
      </w:r>
    </w:p>
    <w:p>
      <w:pPr>
        <w:keepNext/>
        <w:spacing w:before="200" w:after="80"/>
      </w:pPr>
      <w:r>
        <w:rPr>
          <w:rFonts w:ascii="Times New Roman" w:hAnsi="Times New Roman" w:cs="Times New Roman" w:eastAsia="Times New Roman"/>
          <w:b/>
          <w:i w:val="0"/>
          <w:sz w:val="24"/>
        </w:rPr>
        <w:t>3. SERVICES</w:t>
      </w:r>
    </w:p>
    <w:p>
      <w:pPr>
        <w:spacing w:after="120"/>
        <w:jc w:val="both"/>
      </w:pPr>
      <w:r>
        <w:rPr>
          <w:rFonts w:ascii="Times New Roman" w:hAnsi="Times New Roman" w:cs="Times New Roman" w:eastAsia="Times New Roman"/>
          <w:b w:val="0"/>
          <w:i w:val="0"/>
          <w:sz w:val="24"/>
        </w:rPr>
        <w:t>Services are offered in four related areas. Each can be commissioned as training, hands-on co-production, coaching/mentoring, independent review, or a blended package, on a short-term basis.</w:t>
      </w:r>
    </w:p>
    <w:p>
      <w:pPr>
        <w:keepNext/>
        <w:spacing w:before="160" w:after="60"/>
      </w:pPr>
      <w:r>
        <w:rPr>
          <w:rFonts w:ascii="Times New Roman" w:hAnsi="Times New Roman" w:cs="Times New Roman" w:eastAsia="Times New Roman"/>
          <w:b/>
          <w:i/>
          <w:sz w:val="24"/>
        </w:rPr>
        <w:t>3.1 Gender and social inclusion</w:t>
      </w:r>
    </w:p>
    <w:p>
      <w:pPr>
        <w:pStyle w:val="ListBullet"/>
        <w:spacing w:after="60"/>
        <w:jc w:val="both"/>
      </w:pPr>
      <w:r>
        <w:rPr>
          <w:rFonts w:ascii="Times New Roman" w:hAnsi="Times New Roman" w:cs="Times New Roman" w:eastAsia="Times New Roman"/>
          <w:b/>
          <w:i w:val="0"/>
          <w:sz w:val="24"/>
        </w:rPr>
        <w:t xml:space="preserve">Typical support: </w:t>
      </w:r>
      <w:r>
        <w:rPr>
          <w:rFonts w:ascii="Times New Roman" w:hAnsi="Times New Roman" w:cs="Times New Roman" w:eastAsia="Times New Roman"/>
          <w:b w:val="0"/>
          <w:i w:val="0"/>
          <w:sz w:val="24"/>
        </w:rPr>
        <w:t>gender and inclusion analyses and audits; gender-mainstreaming in strategies, programmes and MEAL; design of GBV-aware and intersectional interventions; women’s leadership, mentorship and participation programming; inclusive beneficiary targeting and community accountability.</w:t>
      </w:r>
    </w:p>
    <w:p>
      <w:pPr>
        <w:pStyle w:val="ListBullet"/>
        <w:spacing w:after="60"/>
        <w:jc w:val="both"/>
      </w:pPr>
      <w:r>
        <w:rPr>
          <w:rFonts w:ascii="Times New Roman" w:hAnsi="Times New Roman" w:cs="Times New Roman" w:eastAsia="Times New Roman"/>
          <w:b/>
          <w:i w:val="0"/>
          <w:sz w:val="24"/>
        </w:rPr>
        <w:t xml:space="preserve">Typical deliverables: </w:t>
      </w:r>
      <w:r>
        <w:rPr>
          <w:rFonts w:ascii="Times New Roman" w:hAnsi="Times New Roman" w:cs="Times New Roman" w:eastAsia="Times New Roman"/>
          <w:b w:val="0"/>
          <w:i w:val="0"/>
          <w:sz w:val="24"/>
        </w:rPr>
        <w:t>gender analysis/action plans, inclusive programme designs, training and coaching packages, gender-sensitive indicators and tools.</w:t>
      </w:r>
    </w:p>
    <w:p>
      <w:pPr>
        <w:keepNext/>
        <w:spacing w:before="160" w:after="60"/>
      </w:pPr>
      <w:r>
        <w:rPr>
          <w:rFonts w:ascii="Times New Roman" w:hAnsi="Times New Roman" w:cs="Times New Roman" w:eastAsia="Times New Roman"/>
          <w:b/>
          <w:i/>
          <w:sz w:val="24"/>
        </w:rPr>
        <w:t>3.2 Result Based Management, incorporating Monitoring, Evaluation, Research and Learning (MERL)</w:t>
      </w:r>
    </w:p>
    <w:p>
      <w:pPr>
        <w:pStyle w:val="ListBullet"/>
        <w:spacing w:after="60"/>
        <w:jc w:val="both"/>
      </w:pPr>
      <w:r>
        <w:rPr>
          <w:rFonts w:ascii="Times New Roman" w:hAnsi="Times New Roman" w:cs="Times New Roman" w:eastAsia="Times New Roman"/>
          <w:b/>
          <w:i w:val="0"/>
          <w:sz w:val="24"/>
        </w:rPr>
        <w:t xml:space="preserve">Typical support: </w:t>
      </w:r>
      <w:r>
        <w:rPr>
          <w:rFonts w:ascii="Times New Roman" w:hAnsi="Times New Roman" w:cs="Times New Roman" w:eastAsia="Times New Roman"/>
          <w:b w:val="0"/>
          <w:i w:val="0"/>
          <w:sz w:val="24"/>
        </w:rPr>
        <w:t>theories of change and results/logical frameworks; MEAL plans, indicators, KPIs and tools; baseline, midterm and endline studies; routine monitoring and field-data systems; Data Quality Assurance; evaluations and assessments; data analysis (ODK/Kobo, Microsoft Excel, IBM SPSS, STATA) and use-of-evidence coaching.</w:t>
      </w:r>
    </w:p>
    <w:p>
      <w:pPr>
        <w:pStyle w:val="ListBullet"/>
        <w:spacing w:after="60"/>
        <w:jc w:val="both"/>
      </w:pPr>
      <w:r>
        <w:rPr>
          <w:rFonts w:ascii="Times New Roman" w:hAnsi="Times New Roman" w:cs="Times New Roman" w:eastAsia="Times New Roman"/>
          <w:b/>
          <w:i w:val="0"/>
          <w:sz w:val="24"/>
        </w:rPr>
        <w:t xml:space="preserve">Typical deliverables: </w:t>
      </w:r>
      <w:r>
        <w:rPr>
          <w:rFonts w:ascii="Times New Roman" w:hAnsi="Times New Roman" w:cs="Times New Roman" w:eastAsia="Times New Roman"/>
          <w:b w:val="0"/>
          <w:i w:val="0"/>
          <w:sz w:val="24"/>
        </w:rPr>
        <w:t>MERL frameworks and manuals, survey and evaluation reports, dashboards/reporting templates, DQA reports, learning and adaptation briefs.</w:t>
      </w:r>
    </w:p>
    <w:p>
      <w:pPr>
        <w:keepNext/>
        <w:spacing w:before="160" w:after="60"/>
      </w:pPr>
      <w:r>
        <w:rPr>
          <w:rFonts w:ascii="Times New Roman" w:hAnsi="Times New Roman" w:cs="Times New Roman" w:eastAsia="Times New Roman"/>
          <w:b/>
          <w:i/>
          <w:sz w:val="24"/>
        </w:rPr>
        <w:t>3.3 Programming (program design and implementation)</w:t>
      </w:r>
    </w:p>
    <w:p>
      <w:pPr>
        <w:pStyle w:val="ListBullet"/>
        <w:spacing w:after="60"/>
        <w:jc w:val="both"/>
      </w:pPr>
      <w:r>
        <w:rPr>
          <w:rFonts w:ascii="Times New Roman" w:hAnsi="Times New Roman" w:cs="Times New Roman" w:eastAsia="Times New Roman"/>
          <w:b/>
          <w:i w:val="0"/>
          <w:sz w:val="24"/>
        </w:rPr>
        <w:t xml:space="preserve">Typical support: </w:t>
      </w:r>
      <w:r>
        <w:rPr>
          <w:rFonts w:ascii="Times New Roman" w:hAnsi="Times New Roman" w:cs="Times New Roman" w:eastAsia="Times New Roman"/>
          <w:b w:val="0"/>
          <w:i w:val="0"/>
          <w:sz w:val="24"/>
        </w:rPr>
        <w:t>participatory needs assessment and programme/project design; implementation and work-planning; community-entry and stakeholder-engagement planning; implementation accompaniment and adaptive-management reviews; facilitation of design, planning and reflection workshops.</w:t>
      </w:r>
    </w:p>
    <w:p>
      <w:pPr>
        <w:pStyle w:val="ListBullet"/>
        <w:spacing w:after="60"/>
        <w:jc w:val="both"/>
      </w:pPr>
      <w:r>
        <w:rPr>
          <w:rFonts w:ascii="Times New Roman" w:hAnsi="Times New Roman" w:cs="Times New Roman" w:eastAsia="Times New Roman"/>
          <w:b/>
          <w:i w:val="0"/>
          <w:sz w:val="24"/>
        </w:rPr>
        <w:t xml:space="preserve">Typical deliverables: </w:t>
      </w:r>
      <w:r>
        <w:rPr>
          <w:rFonts w:ascii="Times New Roman" w:hAnsi="Times New Roman" w:cs="Times New Roman" w:eastAsia="Times New Roman"/>
          <w:b w:val="0"/>
          <w:i w:val="0"/>
          <w:sz w:val="24"/>
        </w:rPr>
        <w:t>programme/project documents and implementation plans, workshop reports, review and adaptation reports.</w:t>
      </w:r>
    </w:p>
    <w:p>
      <w:pPr>
        <w:keepNext/>
        <w:spacing w:before="160" w:after="60"/>
      </w:pPr>
      <w:r>
        <w:rPr>
          <w:rFonts w:ascii="Times New Roman" w:hAnsi="Times New Roman" w:cs="Times New Roman" w:eastAsia="Times New Roman"/>
          <w:b/>
          <w:i/>
          <w:sz w:val="24"/>
        </w:rPr>
        <w:t>3.4 Knowledge Management and communication</w:t>
      </w:r>
    </w:p>
    <w:p>
      <w:pPr>
        <w:pStyle w:val="ListBullet"/>
        <w:spacing w:after="60"/>
        <w:jc w:val="both"/>
      </w:pPr>
      <w:r>
        <w:rPr>
          <w:rFonts w:ascii="Times New Roman" w:hAnsi="Times New Roman" w:cs="Times New Roman" w:eastAsia="Times New Roman"/>
          <w:b/>
          <w:i w:val="0"/>
          <w:sz w:val="24"/>
        </w:rPr>
        <w:t xml:space="preserve">Typical support: </w:t>
      </w:r>
      <w:r>
        <w:rPr>
          <w:rFonts w:ascii="Times New Roman" w:hAnsi="Times New Roman" w:cs="Times New Roman" w:eastAsia="Times New Roman"/>
          <w:b w:val="0"/>
          <w:i w:val="0"/>
          <w:sz w:val="24"/>
        </w:rPr>
        <w:t>documentation of case studies, impact stories and lessons learned; analytical progress and completion reporting; policy and learning briefs; design of simple filing, documentation and knowledge-sharing routines for small teams; presentation of evidence to boards, communities, government and funders.</w:t>
      </w:r>
    </w:p>
    <w:p>
      <w:pPr>
        <w:pStyle w:val="ListBullet"/>
        <w:spacing w:after="60"/>
        <w:jc w:val="both"/>
      </w:pPr>
      <w:r>
        <w:rPr>
          <w:rFonts w:ascii="Times New Roman" w:hAnsi="Times New Roman" w:cs="Times New Roman" w:eastAsia="Times New Roman"/>
          <w:b/>
          <w:i w:val="0"/>
          <w:sz w:val="24"/>
        </w:rPr>
        <w:t xml:space="preserve">Typical deliverables: </w:t>
      </w:r>
      <w:r>
        <w:rPr>
          <w:rFonts w:ascii="Times New Roman" w:hAnsi="Times New Roman" w:cs="Times New Roman" w:eastAsia="Times New Roman"/>
          <w:b w:val="0"/>
          <w:i w:val="0"/>
          <w:sz w:val="24"/>
        </w:rPr>
        <w:t>case-study and learning papers, policy/learning briefs, programme reports and presentations, documentation guides.</w:t>
      </w:r>
    </w:p>
    <w:p>
      <w:pPr>
        <w:keepNext/>
        <w:spacing w:before="200" w:after="80"/>
      </w:pPr>
      <w:r>
        <w:rPr>
          <w:rFonts w:ascii="Times New Roman" w:hAnsi="Times New Roman" w:cs="Times New Roman" w:eastAsia="Times New Roman"/>
          <w:b/>
          <w:i w:val="0"/>
          <w:sz w:val="24"/>
        </w:rPr>
        <w:t>4. THEMATIC EXPERIENCE</w:t>
      </w:r>
    </w:p>
    <w:p>
      <w:pPr>
        <w:spacing w:after="120"/>
        <w:jc w:val="both"/>
      </w:pPr>
      <w:r>
        <w:rPr>
          <w:rFonts w:ascii="Times New Roman" w:hAnsi="Times New Roman" w:cs="Times New Roman" w:eastAsia="Times New Roman"/>
          <w:b w:val="0"/>
          <w:i w:val="0"/>
          <w:sz w:val="24"/>
        </w:rPr>
        <w:t>The Lead Consultant’s experience is strongest in Gender Justice (women and girls in energy systems, GBV-sensitive programming, sexual and reproductive health rights awareness) and Climate Change-related programming (climate adaptation, clean-energy access, solar-powered irrigation, sustainable agriculture and climate resilience). Community-level experience in nutrition, child health, vaccination-campaign support and community accountability further strengthens our facilitation with grassroots organisations. FACOLD Enterprise accepts work only where competence is demonstrable and will decline or refer assignments outside its expertise.</w:t>
      </w:r>
    </w:p>
    <w:p>
      <w:pPr>
        <w:keepNext/>
        <w:spacing w:before="200" w:after="80"/>
      </w:pPr>
      <w:r>
        <w:rPr>
          <w:rFonts w:ascii="Times New Roman" w:hAnsi="Times New Roman" w:cs="Times New Roman" w:eastAsia="Times New Roman"/>
          <w:b/>
          <w:i w:val="0"/>
          <w:sz w:val="24"/>
        </w:rPr>
        <w:t>5. HOW WE WORK — QUALITY, ETHICS AND ACCOUNTABILITY</w:t>
      </w:r>
    </w:p>
    <w:p>
      <w:pPr>
        <w:pStyle w:val="ListBullet"/>
        <w:spacing w:after="60"/>
        <w:jc w:val="both"/>
      </w:pPr>
      <w:r>
        <w:rPr>
          <w:rFonts w:ascii="Times New Roman" w:hAnsi="Times New Roman" w:cs="Times New Roman" w:eastAsia="Times New Roman"/>
          <w:b w:val="0"/>
          <w:i w:val="0"/>
          <w:sz w:val="24"/>
        </w:rPr>
        <w:t>Each assignment begins with agreeing scope, deliverables, timeline, roles and quality criteria in writing; progress and drafts are reviewed jointly so there are no surprises at handover.</w:t>
      </w:r>
    </w:p>
    <w:p>
      <w:pPr>
        <w:pStyle w:val="ListBullet"/>
        <w:spacing w:after="60"/>
        <w:jc w:val="both"/>
      </w:pPr>
      <w:r>
        <w:rPr>
          <w:rFonts w:ascii="Times New Roman" w:hAnsi="Times New Roman" w:cs="Times New Roman" w:eastAsia="Times New Roman"/>
          <w:b w:val="0"/>
          <w:i w:val="0"/>
          <w:sz w:val="24"/>
        </w:rPr>
        <w:t>Methods favour participation of organisational staff and community representatives, triangulation of evidence, and validation of findings with those affected.</w:t>
      </w:r>
    </w:p>
    <w:p>
      <w:pPr>
        <w:pStyle w:val="ListBullet"/>
        <w:spacing w:after="60"/>
        <w:jc w:val="both"/>
      </w:pPr>
      <w:r>
        <w:rPr>
          <w:rFonts w:ascii="Times New Roman" w:hAnsi="Times New Roman" w:cs="Times New Roman" w:eastAsia="Times New Roman"/>
          <w:b w:val="0"/>
          <w:i w:val="0"/>
          <w:sz w:val="24"/>
        </w:rPr>
        <w:t>Personal and organisational data are handled confidentially; client-owned reports and data are released only with permission. Full assignment reports from prior employment remain the property of those employers (see Track Record document).</w:t>
      </w:r>
    </w:p>
    <w:p>
      <w:pPr>
        <w:pStyle w:val="ListBullet"/>
        <w:spacing w:after="60"/>
        <w:jc w:val="both"/>
      </w:pPr>
      <w:r>
        <w:rPr>
          <w:rFonts w:ascii="Times New Roman" w:hAnsi="Times New Roman" w:cs="Times New Roman" w:eastAsia="Times New Roman"/>
          <w:b w:val="0"/>
          <w:i w:val="0"/>
          <w:sz w:val="24"/>
        </w:rPr>
        <w:t>Work is undertaken with respect for safeguarding, prevention of harm and exploitation, and the safeguarding and code-of-conduct requirements of the commissioning organisation and Tilitonse Foundation.</w:t>
      </w:r>
    </w:p>
    <w:p>
      <w:pPr>
        <w:pStyle w:val="ListBullet"/>
        <w:spacing w:after="60"/>
        <w:jc w:val="both"/>
      </w:pPr>
      <w:r>
        <w:rPr>
          <w:rFonts w:ascii="Times New Roman" w:hAnsi="Times New Roman" w:cs="Times New Roman" w:eastAsia="Times New Roman"/>
          <w:b w:val="0"/>
          <w:i w:val="0"/>
          <w:sz w:val="24"/>
        </w:rPr>
        <w:t>Conflicts of interest, if any arise, are declared promptly. Work is invoiced transparently under TPIN 71426102.</w:t>
      </w:r>
    </w:p>
    <w:p>
      <w:pPr>
        <w:keepNext/>
        <w:spacing w:before="200" w:after="80"/>
      </w:pPr>
      <w:r>
        <w:rPr>
          <w:rFonts w:ascii="Times New Roman" w:hAnsi="Times New Roman" w:cs="Times New Roman" w:eastAsia="Times New Roman"/>
          <w:b/>
          <w:i w:val="0"/>
          <w:sz w:val="24"/>
        </w:rPr>
        <w:t>6. LEAD CONSULTANT</w:t>
      </w:r>
    </w:p>
    <w:p>
      <w:pPr>
        <w:spacing w:after="120"/>
        <w:jc w:val="both"/>
      </w:pPr>
      <w:r>
        <w:rPr>
          <w:rFonts w:ascii="Times New Roman" w:hAnsi="Times New Roman" w:cs="Times New Roman" w:eastAsia="Times New Roman"/>
          <w:b/>
          <w:i w:val="0"/>
          <w:sz w:val="24"/>
        </w:rPr>
        <w:t xml:space="preserve">Malumbo Kumwenda — Lead Consultant and Sole Proprietor. </w:t>
      </w:r>
      <w:r>
        <w:rPr>
          <w:rFonts w:ascii="Times New Roman" w:hAnsi="Times New Roman" w:cs="Times New Roman" w:eastAsia="Times New Roman"/>
          <w:b w:val="0"/>
          <w:i w:val="0"/>
          <w:sz w:val="24"/>
        </w:rPr>
        <w:t>Master of Arts in Social Sciences (School of Business and Trade, Switzerland); Bachelor of Social Science in Community Development (Catholic University of Malawi). Programme Manager for the Energize Her Project (Green Girls Organization, Lilongwe); Monitoring, Evaluation, Accountability and Learning Manager (LYFT AFRICA, Blantyre); Monitoring and Evaluation Officer (Inter Aide, Phalombe; FISD Limited, Blantyre); Community Development Facilitator (Malawi Red Cross Society, Rumphi). Certified Project Officer (PMI Chapter, 2024) with additional certified training in MEAL, SPSS/STATA research and analysis, data analytics, and nature-based solutions for disaster and climate resilience. Member of the PMI Malawi Chapter and the Association of Social Workers in Malawi; YALI Young Leaders Ambassador. Full details are in the accompanying Curriculum Vitae.</w:t>
      </w:r>
    </w:p>
    <w:p>
      <w:pPr>
        <w:keepNext/>
        <w:spacing w:before="200" w:after="80"/>
      </w:pPr>
      <w:r>
        <w:rPr>
          <w:rFonts w:ascii="Times New Roman" w:hAnsi="Times New Roman" w:cs="Times New Roman" w:eastAsia="Times New Roman"/>
          <w:b/>
          <w:i w:val="0"/>
          <w:sz w:val="24"/>
        </w:rPr>
        <w:t>7. SELECTED TRACK RECORD AT A GLANCE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75"/>
            <w:shd w:fill="D9D9D9" w:val="clear"/>
          </w:tcPr>
          <w:p>
            <w:pPr>
              <w:spacing w:after="40"/>
            </w:pPr>
            <w:r>
              <w:rPr>
                <w:rFonts w:ascii="Times New Roman" w:hAnsi="Times New Roman" w:cs="Times New Roman" w:eastAsia="Times New Roman"/>
                <w:b/>
                <w:i w:val="0"/>
                <w:sz w:val="24"/>
              </w:rPr>
              <w:t>Assignment / Role of Lead Consultant</w:t>
            </w:r>
          </w:p>
        </w:tc>
        <w:tc>
          <w:tcPr>
            <w:tcW w:type="dxa" w:w="2608"/>
            <w:shd w:fill="D9D9D9" w:val="clear"/>
          </w:tcPr>
          <w:p>
            <w:pPr>
              <w:spacing w:after="40"/>
            </w:pPr>
            <w:r>
              <w:rPr>
                <w:rFonts w:ascii="Times New Roman" w:hAnsi="Times New Roman" w:cs="Times New Roman" w:eastAsia="Times New Roman"/>
                <w:b/>
                <w:i w:val="0"/>
                <w:sz w:val="24"/>
              </w:rPr>
              <w:t>Organisation and Location</w:t>
            </w:r>
          </w:p>
        </w:tc>
        <w:tc>
          <w:tcPr>
            <w:tcW w:type="dxa" w:w="3515"/>
            <w:shd w:fill="D9D9D9" w:val="clear"/>
          </w:tcPr>
          <w:p>
            <w:pPr>
              <w:spacing w:after="40"/>
            </w:pPr>
            <w:r>
              <w:rPr>
                <w:rFonts w:ascii="Times New Roman" w:hAnsi="Times New Roman" w:cs="Times New Roman" w:eastAsia="Times New Roman"/>
                <w:b/>
                <w:i w:val="0"/>
                <w:sz w:val="24"/>
              </w:rPr>
              <w:t>Expertise Demonstrated</w:t>
            </w:r>
          </w:p>
        </w:tc>
      </w:tr>
      <w:tr>
        <w:tc>
          <w:tcPr>
            <w:tcW w:type="dxa" w:w="3175"/>
          </w:tcPr>
          <w:p>
            <w:pPr>
              <w:spacing w:after="40"/>
              <w:jc w:val="left"/>
            </w:pPr>
            <w:r>
              <w:rPr>
                <w:rFonts w:ascii="Times New Roman" w:hAnsi="Times New Roman" w:cs="Times New Roman" w:eastAsia="Times New Roman"/>
                <w:b w:val="0"/>
                <w:i w:val="0"/>
                <w:sz w:val="24"/>
              </w:rPr>
              <w:t>Energize Her Project — Women and Girls in the Energy Sector</w:t>
            </w:r>
          </w:p>
          <w:p>
            <w:pPr>
              <w:spacing w:after="40"/>
              <w:jc w:val="left"/>
            </w:pPr>
            <w:r>
              <w:rPr>
                <w:rFonts w:ascii="Times New Roman" w:hAnsi="Times New Roman" w:cs="Times New Roman" w:eastAsia="Times New Roman"/>
                <w:b w:val="0"/>
                <w:i w:val="0"/>
                <w:sz w:val="24"/>
              </w:rPr>
              <w:t>Role: Programme Manager</w:t>
            </w:r>
          </w:p>
        </w:tc>
        <w:tc>
          <w:tcPr>
            <w:tcW w:type="dxa" w:w="2608"/>
          </w:tcPr>
          <w:p>
            <w:pPr>
              <w:spacing w:after="40"/>
              <w:jc w:val="left"/>
            </w:pPr>
            <w:r>
              <w:rPr>
                <w:rFonts w:ascii="Times New Roman" w:hAnsi="Times New Roman" w:cs="Times New Roman" w:eastAsia="Times New Roman"/>
                <w:b w:val="0"/>
                <w:i w:val="0"/>
                <w:sz w:val="24"/>
              </w:rPr>
              <w:t>Green Girls Organization, Lilongwe District</w:t>
            </w:r>
          </w:p>
        </w:tc>
        <w:tc>
          <w:tcPr>
            <w:tcW w:type="dxa" w:w="3515"/>
          </w:tcPr>
          <w:p>
            <w:pPr>
              <w:spacing w:after="40"/>
              <w:jc w:val="left"/>
            </w:pPr>
            <w:r>
              <w:rPr>
                <w:rFonts w:ascii="Times New Roman" w:hAnsi="Times New Roman" w:cs="Times New Roman" w:eastAsia="Times New Roman"/>
                <w:b w:val="0"/>
                <w:i w:val="0"/>
                <w:sz w:val="24"/>
              </w:rPr>
              <w:t>Gender and social inclusion; Programming; MERL and Result Based Management; Knowledge Management and communication</w:t>
            </w:r>
          </w:p>
        </w:tc>
      </w:tr>
      <w:tr>
        <w:tc>
          <w:tcPr>
            <w:tcW w:type="dxa" w:w="3175"/>
          </w:tcPr>
          <w:p>
            <w:pPr>
              <w:spacing w:after="40"/>
              <w:jc w:val="left"/>
            </w:pPr>
            <w:r>
              <w:rPr>
                <w:rFonts w:ascii="Times New Roman" w:hAnsi="Times New Roman" w:cs="Times New Roman" w:eastAsia="Times New Roman"/>
                <w:b w:val="0"/>
                <w:i w:val="0"/>
                <w:sz w:val="24"/>
              </w:rPr>
              <w:t>Monitoring, Evaluation, Accountability and Learning (MEAL) Systems Strengthening</w:t>
            </w:r>
          </w:p>
          <w:p>
            <w:pPr>
              <w:spacing w:after="40"/>
              <w:jc w:val="left"/>
            </w:pPr>
            <w:r>
              <w:rPr>
                <w:rFonts w:ascii="Times New Roman" w:hAnsi="Times New Roman" w:cs="Times New Roman" w:eastAsia="Times New Roman"/>
                <w:b w:val="0"/>
                <w:i w:val="0"/>
                <w:sz w:val="24"/>
              </w:rPr>
              <w:t>Role: Monitoring, Evaluation, Accountability and Learning Manager</w:t>
            </w:r>
          </w:p>
        </w:tc>
        <w:tc>
          <w:tcPr>
            <w:tcW w:type="dxa" w:w="2608"/>
          </w:tcPr>
          <w:p>
            <w:pPr>
              <w:spacing w:after="40"/>
              <w:jc w:val="left"/>
            </w:pPr>
            <w:r>
              <w:rPr>
                <w:rFonts w:ascii="Times New Roman" w:hAnsi="Times New Roman" w:cs="Times New Roman" w:eastAsia="Times New Roman"/>
                <w:b w:val="0"/>
                <w:i w:val="0"/>
                <w:sz w:val="24"/>
              </w:rPr>
              <w:t>LYFT AFRICA, Blantyre District</w:t>
            </w:r>
          </w:p>
        </w:tc>
        <w:tc>
          <w:tcPr>
            <w:tcW w:type="dxa" w:w="3515"/>
          </w:tcPr>
          <w:p>
            <w:pPr>
              <w:spacing w:after="40"/>
              <w:jc w:val="left"/>
            </w:pPr>
            <w:r>
              <w:rPr>
                <w:rFonts w:ascii="Times New Roman" w:hAnsi="Times New Roman" w:cs="Times New Roman" w:eastAsia="Times New Roman"/>
                <w:b w:val="0"/>
                <w:i w:val="0"/>
                <w:sz w:val="24"/>
              </w:rPr>
              <w:t>Result based management and MERL; Knowledge Management and communication; Programming</w:t>
            </w:r>
          </w:p>
        </w:tc>
      </w:tr>
      <w:tr>
        <w:tc>
          <w:tcPr>
            <w:tcW w:type="dxa" w:w="3175"/>
          </w:tcPr>
          <w:p>
            <w:pPr>
              <w:spacing w:after="40"/>
              <w:jc w:val="left"/>
            </w:pPr>
            <w:r>
              <w:rPr>
                <w:rFonts w:ascii="Times New Roman" w:hAnsi="Times New Roman" w:cs="Times New Roman" w:eastAsia="Times New Roman"/>
                <w:b w:val="0"/>
                <w:i w:val="0"/>
                <w:sz w:val="24"/>
              </w:rPr>
              <w:t>Community Programme Monitoring, Evaluation and Data Quality — Vaccination Campaigns and Community Projects</w:t>
            </w:r>
          </w:p>
          <w:p>
            <w:pPr>
              <w:spacing w:after="40"/>
              <w:jc w:val="left"/>
            </w:pPr>
            <w:r>
              <w:rPr>
                <w:rFonts w:ascii="Times New Roman" w:hAnsi="Times New Roman" w:cs="Times New Roman" w:eastAsia="Times New Roman"/>
                <w:b w:val="0"/>
                <w:i w:val="0"/>
                <w:sz w:val="24"/>
              </w:rPr>
              <w:t>Role: Monitoring and Evaluation Officer</w:t>
            </w:r>
          </w:p>
        </w:tc>
        <w:tc>
          <w:tcPr>
            <w:tcW w:type="dxa" w:w="2608"/>
          </w:tcPr>
          <w:p>
            <w:pPr>
              <w:spacing w:after="40"/>
              <w:jc w:val="left"/>
            </w:pPr>
            <w:r>
              <w:rPr>
                <w:rFonts w:ascii="Times New Roman" w:hAnsi="Times New Roman" w:cs="Times New Roman" w:eastAsia="Times New Roman"/>
                <w:b w:val="0"/>
                <w:i w:val="0"/>
                <w:sz w:val="24"/>
              </w:rPr>
              <w:t>Inter Aide, Phalombe District</w:t>
            </w:r>
          </w:p>
        </w:tc>
        <w:tc>
          <w:tcPr>
            <w:tcW w:type="dxa" w:w="3515"/>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r>
        <w:tc>
          <w:tcPr>
            <w:tcW w:type="dxa" w:w="3175"/>
          </w:tcPr>
          <w:p>
            <w:pPr>
              <w:spacing w:after="40"/>
              <w:jc w:val="left"/>
            </w:pPr>
            <w:r>
              <w:rPr>
                <w:rFonts w:ascii="Times New Roman" w:hAnsi="Times New Roman" w:cs="Times New Roman" w:eastAsia="Times New Roman"/>
                <w:b w:val="0"/>
                <w:i w:val="0"/>
                <w:sz w:val="24"/>
              </w:rPr>
              <w:t>Solar-Powered Irrigation and Sustainable Development Monitoring and Evaluation</w:t>
            </w:r>
          </w:p>
          <w:p>
            <w:pPr>
              <w:spacing w:after="40"/>
              <w:jc w:val="left"/>
            </w:pPr>
            <w:r>
              <w:rPr>
                <w:rFonts w:ascii="Times New Roman" w:hAnsi="Times New Roman" w:cs="Times New Roman" w:eastAsia="Times New Roman"/>
                <w:b w:val="0"/>
                <w:i w:val="0"/>
                <w:sz w:val="24"/>
              </w:rPr>
              <w:t>Role: Monitoring and Evaluation Officer</w:t>
            </w:r>
          </w:p>
        </w:tc>
        <w:tc>
          <w:tcPr>
            <w:tcW w:type="dxa" w:w="2608"/>
          </w:tcPr>
          <w:p>
            <w:pPr>
              <w:spacing w:after="40"/>
              <w:jc w:val="left"/>
            </w:pPr>
            <w:r>
              <w:rPr>
                <w:rFonts w:ascii="Times New Roman" w:hAnsi="Times New Roman" w:cs="Times New Roman" w:eastAsia="Times New Roman"/>
                <w:b w:val="0"/>
                <w:i w:val="0"/>
                <w:sz w:val="24"/>
              </w:rPr>
              <w:t>FISD Limited (Foundation for Irrigation and Sustainable Development), Blantyre District and rural field sites</w:t>
            </w:r>
          </w:p>
        </w:tc>
        <w:tc>
          <w:tcPr>
            <w:tcW w:type="dxa" w:w="3515"/>
          </w:tcPr>
          <w:p>
            <w:pPr>
              <w:spacing w:after="40"/>
              <w:jc w:val="left"/>
            </w:pPr>
            <w:r>
              <w:rPr>
                <w:rFonts w:ascii="Times New Roman" w:hAnsi="Times New Roman" w:cs="Times New Roman" w:eastAsia="Times New Roman"/>
                <w:b w:val="0"/>
                <w:i w:val="0"/>
                <w:sz w:val="24"/>
              </w:rPr>
              <w:t>Result based management and MERL; Programming; Knowledge Management and communication</w:t>
            </w:r>
          </w:p>
        </w:tc>
      </w:tr>
      <w:tr>
        <w:tc>
          <w:tcPr>
            <w:tcW w:type="dxa" w:w="3175"/>
          </w:tcPr>
          <w:p>
            <w:pPr>
              <w:spacing w:after="40"/>
              <w:jc w:val="left"/>
            </w:pPr>
            <w:r>
              <w:rPr>
                <w:rFonts w:ascii="Times New Roman" w:hAnsi="Times New Roman" w:cs="Times New Roman" w:eastAsia="Times New Roman"/>
                <w:b w:val="0"/>
                <w:i w:val="0"/>
                <w:sz w:val="24"/>
              </w:rPr>
              <w:t>Community Nutrition, Child Health and Community Accountability Facilitation</w:t>
            </w:r>
          </w:p>
          <w:p>
            <w:pPr>
              <w:spacing w:after="40"/>
              <w:jc w:val="left"/>
            </w:pPr>
            <w:r>
              <w:rPr>
                <w:rFonts w:ascii="Times New Roman" w:hAnsi="Times New Roman" w:cs="Times New Roman" w:eastAsia="Times New Roman"/>
                <w:b w:val="0"/>
                <w:i w:val="0"/>
                <w:sz w:val="24"/>
              </w:rPr>
              <w:t>Role: Community Development Facilitator</w:t>
            </w:r>
          </w:p>
        </w:tc>
        <w:tc>
          <w:tcPr>
            <w:tcW w:type="dxa" w:w="2608"/>
          </w:tcPr>
          <w:p>
            <w:pPr>
              <w:spacing w:after="40"/>
              <w:jc w:val="left"/>
            </w:pPr>
            <w:r>
              <w:rPr>
                <w:rFonts w:ascii="Times New Roman" w:hAnsi="Times New Roman" w:cs="Times New Roman" w:eastAsia="Times New Roman"/>
                <w:b w:val="0"/>
                <w:i w:val="0"/>
                <w:sz w:val="24"/>
              </w:rPr>
              <w:t>Malawi Red Cross Society, Rumphi District</w:t>
            </w:r>
          </w:p>
        </w:tc>
        <w:tc>
          <w:tcPr>
            <w:tcW w:type="dxa" w:w="3515"/>
          </w:tcPr>
          <w:p>
            <w:pPr>
              <w:spacing w:after="40"/>
              <w:jc w:val="left"/>
            </w:pPr>
            <w:r>
              <w:rPr>
                <w:rFonts w:ascii="Times New Roman" w:hAnsi="Times New Roman" w:cs="Times New Roman" w:eastAsia="Times New Roman"/>
                <w:b w:val="0"/>
                <w:i w:val="0"/>
                <w:sz w:val="24"/>
              </w:rPr>
              <w:t>Programming; Gender and social inclusion; Result based management and MERL (community accountability)</w:t>
            </w:r>
          </w:p>
        </w:tc>
      </w:tr>
    </w:tbl>
    <w:p>
      <w:pPr>
        <w:spacing w:after="40"/>
      </w:pPr>
    </w:p>
    <w:p>
      <w:pPr>
        <w:spacing w:after="120"/>
        <w:jc w:val="both"/>
      </w:pPr>
      <w:r>
        <w:rPr>
          <w:rFonts w:ascii="Times New Roman" w:hAnsi="Times New Roman" w:cs="Times New Roman" w:eastAsia="Times New Roman"/>
          <w:b w:val="0"/>
          <w:i w:val="0"/>
          <w:sz w:val="24"/>
        </w:rPr>
        <w:t>Detailed assignment descriptions, methods, outputs and relevance to CBO and local-CSO strengthening are provided in the separate Track Record and Evidence of Previous Work document. Assignment periods and verification contacts are stated therein and in the portal work-history and references sections.</w:t>
      </w:r>
    </w:p>
    <w:p>
      <w:pPr>
        <w:keepNext/>
        <w:spacing w:before="200" w:after="80"/>
      </w:pPr>
      <w:r>
        <w:rPr>
          <w:rFonts w:ascii="Times New Roman" w:hAnsi="Times New Roman" w:cs="Times New Roman" w:eastAsia="Times New Roman"/>
          <w:b/>
          <w:i w:val="0"/>
          <w:sz w:val="24"/>
        </w:rPr>
        <w:t>8. WHY FACOLD ENTERPRISE FITS THIS DATABASE</w:t>
      </w:r>
    </w:p>
    <w:p>
      <w:pPr>
        <w:pStyle w:val="ListBullet"/>
        <w:spacing w:after="60"/>
        <w:jc w:val="both"/>
      </w:pPr>
      <w:r>
        <w:rPr>
          <w:rFonts w:ascii="Times New Roman" w:hAnsi="Times New Roman" w:cs="Times New Roman" w:eastAsia="Times New Roman"/>
          <w:b w:val="0"/>
          <w:i w:val="0"/>
          <w:sz w:val="24"/>
        </w:rPr>
        <w:t>Genuinely local and accessible: Malawian-led, Blantyre-based, with field experience in the Southern, Central and Northern Regions and a rate structure mindful of CBO and small-CSO budgets.</w:t>
      </w:r>
    </w:p>
    <w:p>
      <w:pPr>
        <w:pStyle w:val="ListBullet"/>
        <w:spacing w:after="60"/>
        <w:jc w:val="both"/>
      </w:pPr>
      <w:r>
        <w:rPr>
          <w:rFonts w:ascii="Times New Roman" w:hAnsi="Times New Roman" w:cs="Times New Roman" w:eastAsia="Times New Roman"/>
          <w:b w:val="0"/>
          <w:i w:val="0"/>
          <w:sz w:val="24"/>
        </w:rPr>
        <w:t>Combined gender, programming and MERL competence in one Lead Consultant — design, delivery, measurement and learning are integrated rather than fragmented.</w:t>
      </w:r>
    </w:p>
    <w:p>
      <w:pPr>
        <w:pStyle w:val="ListBullet"/>
        <w:spacing w:after="60"/>
        <w:jc w:val="both"/>
      </w:pPr>
      <w:r>
        <w:rPr>
          <w:rFonts w:ascii="Times New Roman" w:hAnsi="Times New Roman" w:cs="Times New Roman" w:eastAsia="Times New Roman"/>
          <w:b w:val="0"/>
          <w:i w:val="0"/>
          <w:sz w:val="24"/>
        </w:rPr>
        <w:t>Grassroots fluency with professional standards: direct facilitation with community leaders, women’s groups and field teams, alongside framework-level MERL, evaluation and policy-brief experience.</w:t>
      </w:r>
    </w:p>
    <w:p>
      <w:pPr>
        <w:pStyle w:val="ListBullet"/>
        <w:spacing w:after="60"/>
        <w:jc w:val="both"/>
      </w:pPr>
      <w:r>
        <w:rPr>
          <w:rFonts w:ascii="Times New Roman" w:hAnsi="Times New Roman" w:cs="Times New Roman" w:eastAsia="Times New Roman"/>
          <w:b w:val="0"/>
          <w:i w:val="0"/>
          <w:sz w:val="24"/>
        </w:rPr>
        <w:t>Transfer-oriented delivery: coaching, usable tools and documented handover that leave capacity inside the organisation, in the spirit of Shift the Power.</w:t>
      </w:r>
    </w:p>
    <w:p>
      <w:pPr>
        <w:keepNext/>
        <w:spacing w:before="200" w:after="80"/>
      </w:pPr>
      <w:r>
        <w:rPr>
          <w:rFonts w:ascii="Times New Roman" w:hAnsi="Times New Roman" w:cs="Times New Roman" w:eastAsia="Times New Roman"/>
          <w:b/>
          <w:i w:val="0"/>
          <w:sz w:val="24"/>
        </w:rPr>
        <w:t>9. AVAILABILITY, CONSULTANCY RATES AND DOCUMENTS</w:t>
      </w:r>
    </w:p>
    <w:p>
      <w:pPr>
        <w:spacing w:after="120"/>
        <w:jc w:val="both"/>
      </w:pPr>
      <w:r>
        <w:rPr>
          <w:rFonts w:ascii="Times New Roman" w:hAnsi="Times New Roman" w:cs="Times New Roman" w:eastAsia="Times New Roman"/>
          <w:b/>
          <w:i w:val="0"/>
          <w:sz w:val="24"/>
        </w:rPr>
        <w:t xml:space="preserve">Availability: </w:t>
      </w:r>
      <w:r>
        <w:rPr>
          <w:rFonts w:ascii="Times New Roman" w:hAnsi="Times New Roman" w:cs="Times New Roman" w:eastAsia="Times New Roman"/>
          <w:b w:val="0"/>
          <w:i w:val="0"/>
          <w:sz w:val="24"/>
        </w:rPr>
        <w:t xml:space="preserve">short-term assignments across Malawi, by agreement. </w:t>
      </w:r>
      <w:r>
        <w:rPr>
          <w:rFonts w:ascii="Times New Roman" w:hAnsi="Times New Roman" w:cs="Times New Roman" w:eastAsia="Times New Roman"/>
          <w:b/>
          <w:i w:val="0"/>
          <w:sz w:val="24"/>
        </w:rPr>
        <w:t xml:space="preserve">Standard rate: </w:t>
      </w:r>
      <w:r>
        <w:rPr>
          <w:rFonts w:ascii="Times New Roman" w:hAnsi="Times New Roman" w:cs="Times New Roman" w:eastAsia="Times New Roman"/>
          <w:b/>
          <w:i w:val="0"/>
          <w:sz w:val="24"/>
          <w:highlight w:val="yellow"/>
        </w:rPr>
        <w:t>Lead Consultant MWK 180,000 per full day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highlight w:val="yellow"/>
        </w:rPr>
        <w:t>MWK 95,000 per half-day</w:t>
      </w:r>
      <w:r>
        <w:rPr>
          <w:rFonts w:ascii="Times New Roman" w:hAnsi="Times New Roman" w:cs="Times New Roman" w:eastAsia="Times New Roman"/>
          <w:b w:val="0"/>
          <w:i w:val="0"/>
          <w:sz w:val="24"/>
        </w:rPr>
        <w:t xml:space="preserve"> (up to four hours, Blantyre-based or remote). The daily rate covers professional time and standard reporting for Blantyre-based/desk work. Travel, accommodation and per diem outside Blantyre, venue and participant costs, and large-scale printing/data-collection field costs are excluded and charged at cost or provided directly by the client, by prior written agreement. Taxes are withheld/applied in accordance with Malawi law. Multi-day, framework and CBO coaching engagements may be offered at a reduced effective daily rate by negotiation, confirmed in writing before commencement. No work begins without agreed terms of reference and fees.</w:t>
      </w:r>
    </w:p>
    <w:p>
      <w:pPr>
        <w:spacing w:after="120"/>
        <w:jc w:val="both"/>
      </w:pPr>
      <w:r>
        <w:rPr>
          <w:rFonts w:ascii="Times New Roman" w:hAnsi="Times New Roman" w:cs="Times New Roman" w:eastAsia="Times New Roman"/>
          <w:b/>
          <w:i w:val="0"/>
          <w:sz w:val="24"/>
        </w:rPr>
        <w:t xml:space="preserve">Documents available with this profile: </w:t>
      </w:r>
      <w:r>
        <w:rPr>
          <w:rFonts w:ascii="Times New Roman" w:hAnsi="Times New Roman" w:cs="Times New Roman" w:eastAsia="Times New Roman"/>
          <w:b w:val="0"/>
          <w:i w:val="0"/>
          <w:sz w:val="24"/>
        </w:rPr>
        <w:t>Expression of Interest; Curriculum Vitae of the Lead Consultant; Track Record and Evidence of Previous Work; Business Registration Certificate (BRN-KGSDWL6P); MRA TPIN Certificate (71426102). Academic and professional certificates and redacted work samples can be provided for vetting on request, subject to prior-employer confidentiality.</w:t>
      </w:r>
    </w:p>
    <w:p>
      <w:pPr>
        <w:spacing w:after="120"/>
        <w:jc w:val="both"/>
      </w:pPr>
      <w:r>
        <w:rPr>
          <w:rFonts w:ascii="Times New Roman" w:hAnsi="Times New Roman" w:cs="Times New Roman" w:eastAsia="Times New Roman"/>
          <w:b/>
          <w:i w:val="0"/>
          <w:sz w:val="24"/>
        </w:rPr>
        <w:t xml:space="preserve">Contact: </w:t>
      </w:r>
      <w:r>
        <w:rPr>
          <w:rFonts w:ascii="Times New Roman" w:hAnsi="Times New Roman" w:cs="Times New Roman" w:eastAsia="Times New Roman"/>
          <w:b w:val="0"/>
          <w:i w:val="0"/>
          <w:sz w:val="24"/>
        </w:rPr>
        <w:t>Malumbo Kumwenda, Lead Consultant and Sole Proprietor, FACOLD Enterprise — C/O Mr B. Kumwenda, Nation Publications Limited, P.O. Box 30408, Chichiri, Blantyre 3, Malawi; Tel: +265 881 457 142 / +265 993 371 146; Email: mayakumwenda7@gmail.com.</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sz w:val="24"/>
      </w:rPr>
      <w:t xml:space="preserve">FACOLD Enterprise — Company Profile  |  Page </w:t>
    </w:r>
    <w:r>
      <w:rPr>
        <w:rFonts w:ascii="Times New Roman" w:hAnsi="Times New Roman" w:cs="Times New Roman" w:eastAsia="Times New Roman"/>
        <w:b w:val="0"/>
        <w:i/>
        <w:sz w:val="24"/>
      </w:rPr>
      <w:fldChar w:fldCharType="begin"/>
    </w:r>
    <w:r>
      <w:rPr>
        <w:rFonts w:ascii="Times New Roman" w:hAnsi="Times New Roman" w:cs="Times New Roman" w:eastAsia="Times New Roman"/>
        <w:b w:val="0"/>
        <w:i/>
        <w:sz w:val="24"/>
      </w:rPr>
      <w:instrText xml:space="preserve">PAGE</w:instrText>
    </w:r>
    <w:r>
      <w:rPr>
        <w:rFonts w:ascii="Times New Roman" w:hAnsi="Times New Roman" w:cs="Times New Roman" w:eastAsia="Times New Roman"/>
        <w:b w:val="0"/>
        <w:i/>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 - FACOLD Enterprise</dc:title>
  <dc:subject/>
  <dc:creator>FACOLD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