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0" w:before="0" w:line="240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>MRTC RESEARCH AND TASKING SOLUTIONS (MRTC)</w:t>
      </w:r>
    </w:p>
    <w:p>
      <w:pPr>
        <w:widowControl/>
        <w:spacing w:after="0" w:before="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>Blantyre, Malawi  |  Phone: +265 885 675 877 / +265 993 888 578</w:t>
      </w:r>
    </w:p>
    <w:p>
      <w:pPr>
        <w:widowControl/>
        <w:spacing w:after="0" w:before="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>Email: mrtc-solutions@gmail.com  |  Website: https://mrtc-solutions.netlify.app</w:t>
      </w:r>
    </w:p>
    <w:p>
      <w:pPr>
        <w:widowControl/>
        <w:spacing w:after="0" w:before="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>Business Registration No.: BRN-PKSJDLR  |  TIN: 71426102 (MRA Certificate No. MRA/TIN/BSTO/00417547)</w:t>
      </w:r>
    </w:p>
    <w:p>
      <w:pPr>
        <w:spacing w:before="40" w:after="160"/>
        <w:pBdr>
          <w:bottom w:val="single" w:sz="6" w:space="1" w:color="000000"/>
        </w:pBdr>
      </w:pPr>
    </w:p>
    <w:p>
      <w:pPr>
        <w:widowControl/>
        <w:spacing w:after="40" w:before="40" w:line="240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>DAILY RATES IN MALAWI KWACHA (MWK)</w:t>
      </w:r>
    </w:p>
    <w:p>
      <w:pPr>
        <w:widowControl/>
        <w:spacing w:after="120" w:before="0" w:line="240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>Tilitonse Foundation – Local Organization Strengthening Service Providers Database</w:t>
      </w:r>
    </w:p>
    <w:p>
      <w:pPr>
        <w:spacing w:after="80" w:before="0" w:line="240" w:lineRule="auto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 xml:space="preserve">Applicant: </w:t>
      </w: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 xml:space="preserve">MRTC Research and Tasking Solutions (local institution service provider). Date: 26 October 2026. If the portal permits only one daily-rate figure, please record </w:t>
      </w: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>MWK 450,000 per day (Lead Consultant / Team Leader rate)</w:t>
      </w: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>; the full institutional schedule is below.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5102"/>
            <w:tcMar>
              <w:top w:w="60" w:type="dxa"/>
              <w:left w:w="60" w:type="dxa"/>
              <w:bottom w:w="60" w:type="dxa"/>
              <w:right w:w="60" w:type="dxa"/>
            </w:tcMar>
            <w:shd w:val="clear" w:color="auto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  <w:u w:val="none"/>
              </w:rPr>
              <w:t>Category (assignment-matched personnel)</w:t>
            </w:r>
          </w:p>
        </w:tc>
        <w:tc>
          <w:tcPr>
            <w:tcW w:type="dxa" w:w="2268"/>
            <w:tcMar>
              <w:top w:w="60" w:type="dxa"/>
              <w:left w:w="60" w:type="dxa"/>
              <w:bottom w:w="60" w:type="dxa"/>
              <w:right w:w="60" w:type="dxa"/>
            </w:tcMar>
            <w:shd w:val="clear" w:color="auto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  <w:u w:val="none"/>
              </w:rPr>
              <w:t>Daily rate (MWK)</w:t>
            </w:r>
          </w:p>
        </w:tc>
        <w:tc>
          <w:tcPr>
            <w:tcW w:type="dxa" w:w="2268"/>
            <w:tcMar>
              <w:top w:w="60" w:type="dxa"/>
              <w:left w:w="60" w:type="dxa"/>
              <w:bottom w:w="60" w:type="dxa"/>
              <w:right w:w="60" w:type="dxa"/>
            </w:tcMar>
            <w:shd w:val="clear" w:color="auto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  <w:u w:val="none"/>
              </w:rPr>
              <w:t>Half-day rate (MWK)</w:t>
            </w:r>
          </w:p>
        </w:tc>
      </w:tr>
      <w:tr>
        <w:tc>
          <w:tcPr>
            <w:tcW w:type="dxa" w:w="510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Lead Consultant / Team Leader (e.g. Lead – Research, MEAL and Development Programmes; Director-level assignments)</w:t>
            </w:r>
          </w:p>
        </w:tc>
        <w:tc>
          <w:tcPr>
            <w:tcW w:type="dxa" w:w="226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450,000</w:t>
            </w:r>
          </w:p>
        </w:tc>
        <w:tc>
          <w:tcPr>
            <w:tcW w:type="dxa" w:w="226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250,000</w:t>
            </w:r>
          </w:p>
        </w:tc>
      </w:tr>
      <w:tr>
        <w:tc>
          <w:tcPr>
            <w:tcW w:type="dxa" w:w="510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Senior Consultant (e.g. statistics/economics, health/social research, DRM/climate specialists)</w:t>
            </w:r>
          </w:p>
        </w:tc>
        <w:tc>
          <w:tcPr>
            <w:tcW w:type="dxa" w:w="226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375,000</w:t>
            </w:r>
          </w:p>
        </w:tc>
        <w:tc>
          <w:tcPr>
            <w:tcW w:type="dxa" w:w="226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210,000</w:t>
            </w:r>
          </w:p>
        </w:tc>
      </w:tr>
      <w:tr>
        <w:tc>
          <w:tcPr>
            <w:tcW w:type="dxa" w:w="510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Consultant (research, MEAL, data and training delivery)</w:t>
            </w:r>
          </w:p>
        </w:tc>
        <w:tc>
          <w:tcPr>
            <w:tcW w:type="dxa" w:w="226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300,000</w:t>
            </w:r>
          </w:p>
        </w:tc>
        <w:tc>
          <w:tcPr>
            <w:tcW w:type="dxa" w:w="226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170,000</w:t>
            </w:r>
          </w:p>
        </w:tc>
      </w:tr>
      <w:tr>
        <w:tc>
          <w:tcPr>
            <w:tcW w:type="dxa" w:w="510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Associate / Analyst / Field Coordinator (field coordination, analysis and training support)</w:t>
            </w:r>
          </w:p>
        </w:tc>
        <w:tc>
          <w:tcPr>
            <w:tcW w:type="dxa" w:w="226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180,000</w:t>
            </w:r>
          </w:p>
        </w:tc>
        <w:tc>
          <w:tcPr>
            <w:tcW w:type="dxa" w:w="226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100,000</w:t>
            </w:r>
          </w:p>
        </w:tc>
      </w:tr>
    </w:tbl>
    <w:p>
      <w:pPr>
        <w:widowControl/>
        <w:spacing w:after="40" w:before="0" w:line="240" w:lineRule="auto"/>
      </w:pPr>
    </w:p>
    <w:p>
      <w:pPr>
        <w:keepNext/>
        <w:spacing w:before="200" w:after="80" w:line="240" w:lineRule="auto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>Notes and conditions</w:t>
      </w:r>
    </w:p>
    <w:p>
      <w:pPr>
        <w:pStyle w:val="ListNumber"/>
        <w:spacing w:after="40" w:before="0" w:line="240" w:lineRule="auto"/>
        <w:ind w:left="39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>A day is eight working hours. Rates are professional fees for specialist time, supervision, analysis, reporting and quality assurance as scoped in the assignment terms of reference.</w:t>
      </w:r>
    </w:p>
    <w:p>
      <w:pPr>
        <w:pStyle w:val="ListNumber"/>
        <w:spacing w:after="40" w:before="0" w:line="240" w:lineRule="auto"/>
        <w:ind w:left="39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>Withholding tax and other statutory deductions will be applied in accordance with Malawi Revenue Authority requirements and the contract terms. MRTC TIN: 71426102 (Certificate No. MRA/TIN/BSTO/00417547).</w:t>
      </w:r>
    </w:p>
    <w:p>
      <w:pPr>
        <w:pStyle w:val="ListNumber"/>
        <w:spacing w:after="40" w:before="0" w:line="240" w:lineRule="auto"/>
        <w:ind w:left="39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>Reimbursable costs (travel, accommodation, per diem/subsistence, venue, participant costs, printing and assignment-specific materials) are excluded and will be budgeted at actuals or at the engaging organisation’s approved rates, with prior authorisation and supporting documentation.</w:t>
      </w:r>
    </w:p>
    <w:p>
      <w:pPr>
        <w:pStyle w:val="ListNumber"/>
        <w:spacing w:after="40" w:before="0" w:line="240" w:lineRule="auto"/>
        <w:ind w:left="39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>In the Shift the Power spirit, MRTC is willing to discuss assignment-specific or framework rates for CBOs and small CSOs, multi-day engagements and phased mentoring, provided quality and safeguarding standards are maintained. A written assignment quotation/contract will prevail over this indicative schedule.</w:t>
      </w:r>
    </w:p>
    <w:p>
      <w:pPr>
        <w:pStyle w:val="ListNumber"/>
        <w:spacing w:after="40" w:before="0" w:line="240" w:lineRule="auto"/>
        <w:ind w:left="39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>Rates are valid for 12 months from the date above, subject to review for material inflation/currency changes. No advance payment is implied by database registration.</w:t>
      </w:r>
    </w:p>
    <w:p>
      <w:pPr>
        <w:spacing w:after="80" w:before="120" w:line="240" w:lineRule="auto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 xml:space="preserve">Declaration: </w:t>
      </w: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>MRTC confirms the above MWK daily rates for portal registration purposes and availability for short-term assignments as needed, subject to agreed terms for each engagement.</w:t>
      </w:r>
    </w:p>
    <w:p>
      <w:pPr>
        <w:widowControl/>
        <w:spacing w:after="240" w:before="160" w:line="240" w:lineRule="auto"/>
      </w:pP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>Signed for and on behalf of MRTC Research and Tasking Solutions:</w:t>
      </w:r>
    </w:p>
    <w:p>
      <w:pPr>
        <w:widowControl/>
        <w:spacing w:after="80" w:before="0" w:line="240" w:lineRule="auto"/>
      </w:pP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>Signature: ________________________________________    Date: ____________________</w:t>
      </w:r>
    </w:p>
    <w:p>
      <w:pPr>
        <w:spacing w:after="40" w:before="0" w:line="240" w:lineRule="auto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 xml:space="preserve">Name: </w:t>
      </w: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>Francis Fweta</w:t>
      </w:r>
    </w:p>
    <w:p>
      <w:pPr>
        <w:spacing w:after="40" w:before="0" w:line="240" w:lineRule="auto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 xml:space="preserve">Title: </w:t>
      </w: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>Lead – Research, MEAL and Development Programmes (Authorised Representative)</w:t>
      </w:r>
    </w:p>
    <w:p>
      <w:pPr>
        <w:spacing w:after="40" w:before="0" w:line="240" w:lineRule="auto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 xml:space="preserve">Email: </w:t>
      </w: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>fwetafrancis@gmail.com  |  Cell: +265 993 888 578 / +265 885 675 877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eastAsia="Times New Roman" w:cs="Times New Roman"/>
        <w:b w:val="0"/>
        <w:i w:val="0"/>
        <w:sz w:val="24"/>
        <w:u w:val="none"/>
      </w:rPr>
      <w:t xml:space="preserve">MRTC – Daily Rates in MWK  |  Page </w:t>
    </w:r>
    <w:r>
      <w:rPr>
        <w:rFonts w:ascii="Times New Roman" w:hAnsi="Times New Roman" w:eastAsia="Times New Roman" w:cs="Times New Roman"/>
        <w:b w:val="0"/>
        <w:i w:val="0"/>
        <w:sz w:val="24"/>
        <w:u w:val="none"/>
      </w:rPr>
      <w:fldChar w:fldCharType="begin"/>
    </w:r>
    <w:r>
      <w:rPr>
        <w:rFonts w:ascii="Times New Roman" w:hAnsi="Times New Roman" w:eastAsia="Times New Roman" w:cs="Times New Roman"/>
        <w:b w:val="0"/>
        <w:i w:val="0"/>
        <w:sz w:val="24"/>
        <w:u w:val="none"/>
      </w:rPr>
      <w:instrText xml:space="preserve"> PAGE </w:instrText>
    </w:r>
    <w:r>
      <w:rPr>
        <w:rFonts w:ascii="Times New Roman" w:hAnsi="Times New Roman" w:eastAsia="Times New Roman" w:cs="Times New Roman"/>
        <w:b w:val="0"/>
        <w:i w:val="0"/>
        <w:sz w:val="24"/>
        <w:u w:val="none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80" w:before="0" w:line="24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 w:line="24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4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40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Daily Rates in MWK – MRTC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