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after="0" w:before="0" w:line="240" w:lineRule="auto"/>
        <w:jc w:val="center"/>
      </w:pPr>
      <w:r>
        <w:rPr>
          <w:rFonts w:ascii="Times New Roman" w:hAnsi="Times New Roman" w:eastAsia="Times New Roman" w:cs="Times New Roman"/>
          <w:b/>
          <w:i w:val="0"/>
          <w:sz w:val="24"/>
          <w:u w:val="none"/>
        </w:rPr>
        <w:t>MRTC RESEARCH AND TASKING SOLUTIONS (MRTC)</w:t>
      </w:r>
    </w:p>
    <w:p>
      <w:pPr>
        <w:widowControl/>
        <w:spacing w:after="0" w:before="0" w:line="240" w:lineRule="auto"/>
        <w:jc w:val="center"/>
      </w:pPr>
      <w:r>
        <w:rPr>
          <w:rFonts w:ascii="Times New Roman" w:hAnsi="Times New Roman" w:eastAsia="Times New Roman" w:cs="Times New Roman"/>
          <w:b w:val="0"/>
          <w:i w:val="0"/>
          <w:sz w:val="24"/>
          <w:u w:val="none"/>
        </w:rPr>
        <w:t>Blantyre, Malawi  |  Phone: +265 885 675 877 / +265 993 888 578</w:t>
      </w:r>
    </w:p>
    <w:p>
      <w:pPr>
        <w:widowControl/>
        <w:spacing w:after="0" w:before="0" w:line="240" w:lineRule="auto"/>
        <w:jc w:val="center"/>
      </w:pPr>
      <w:r>
        <w:rPr>
          <w:rFonts w:ascii="Times New Roman" w:hAnsi="Times New Roman" w:eastAsia="Times New Roman" w:cs="Times New Roman"/>
          <w:b w:val="0"/>
          <w:i w:val="0"/>
          <w:sz w:val="24"/>
          <w:u w:val="none"/>
        </w:rPr>
        <w:t>Email: mrtc-solutions@gmail.com  |  Website: https://mrtc-solutions.netlify.app</w:t>
      </w:r>
    </w:p>
    <w:p>
      <w:pPr>
        <w:widowControl/>
        <w:spacing w:after="0" w:before="0" w:line="240" w:lineRule="auto"/>
        <w:jc w:val="center"/>
      </w:pPr>
      <w:r>
        <w:rPr>
          <w:rFonts w:ascii="Times New Roman" w:hAnsi="Times New Roman" w:eastAsia="Times New Roman" w:cs="Times New Roman"/>
          <w:b w:val="0"/>
          <w:i w:val="0"/>
          <w:sz w:val="24"/>
          <w:u w:val="none"/>
        </w:rPr>
        <w:t>Business Registration No.: BRN-PKSJDLR  |  TIN: 71426102 (MRA Certificate No. MRA/TIN/BSTO/00417547)</w:t>
      </w:r>
    </w:p>
    <w:p>
      <w:pPr>
        <w:spacing w:before="40" w:after="160"/>
        <w:pBdr>
          <w:bottom w:val="single" w:sz="6" w:space="1" w:color="000000"/>
        </w:pBdr>
      </w:pPr>
    </w:p>
    <w:p>
      <w:pPr>
        <w:widowControl/>
        <w:spacing w:after="40" w:before="40" w:line="240" w:lineRule="auto"/>
        <w:jc w:val="center"/>
      </w:pPr>
      <w:r>
        <w:rPr>
          <w:rFonts w:ascii="Times New Roman" w:hAnsi="Times New Roman" w:eastAsia="Times New Roman" w:cs="Times New Roman"/>
          <w:b/>
          <w:i w:val="0"/>
          <w:sz w:val="24"/>
          <w:u w:val="none"/>
        </w:rPr>
        <w:t>EXPRESSION OF INTEREST</w:t>
      </w:r>
    </w:p>
    <w:p>
      <w:pPr>
        <w:widowControl/>
        <w:spacing w:after="120" w:before="0" w:line="240" w:lineRule="auto"/>
        <w:jc w:val="center"/>
      </w:pPr>
      <w:r>
        <w:rPr>
          <w:rFonts w:ascii="Times New Roman" w:hAnsi="Times New Roman" w:eastAsia="Times New Roman" w:cs="Times New Roman"/>
          <w:b/>
          <w:i w:val="0"/>
          <w:sz w:val="24"/>
          <w:u w:val="none"/>
        </w:rPr>
        <w:t>Registration in the Local Organization Strengthening Service Providers Database</w:t>
      </w:r>
    </w:p>
    <w:p>
      <w:pPr>
        <w:spacing w:after="40" w:before="0" w:line="240" w:lineRule="auto"/>
      </w:pPr>
      <w:r>
        <w:rPr>
          <w:rFonts w:ascii="Times New Roman" w:hAnsi="Times New Roman" w:eastAsia="Times New Roman" w:cs="Times New Roman"/>
          <w:b/>
          <w:i w:val="0"/>
          <w:sz w:val="24"/>
          <w:u w:val="none"/>
        </w:rPr>
        <w:t xml:space="preserve">Submitted to: </w:t>
      </w:r>
      <w:r>
        <w:rPr>
          <w:rFonts w:ascii="Times New Roman" w:hAnsi="Times New Roman" w:eastAsia="Times New Roman" w:cs="Times New Roman"/>
          <w:b w:val="0"/>
          <w:i w:val="0"/>
          <w:sz w:val="24"/>
          <w:u w:val="none"/>
        </w:rPr>
        <w:t>Tilitonse Foundation, Malawi (SR20 Shifting the Power Programme)</w:t>
      </w:r>
    </w:p>
    <w:p>
      <w:pPr>
        <w:spacing w:after="40" w:before="0" w:line="240" w:lineRule="auto"/>
      </w:pPr>
      <w:r>
        <w:rPr>
          <w:rFonts w:ascii="Times New Roman" w:hAnsi="Times New Roman" w:eastAsia="Times New Roman" w:cs="Times New Roman"/>
          <w:b/>
          <w:i w:val="0"/>
          <w:sz w:val="24"/>
          <w:u w:val="none"/>
        </w:rPr>
        <w:t xml:space="preserve">Applicant: </w:t>
      </w:r>
      <w:r>
        <w:rPr>
          <w:rFonts w:ascii="Times New Roman" w:hAnsi="Times New Roman" w:eastAsia="Times New Roman" w:cs="Times New Roman"/>
          <w:b w:val="0"/>
          <w:i w:val="0"/>
          <w:sz w:val="24"/>
          <w:u w:val="none"/>
        </w:rPr>
        <w:t>MRTC Research and Tasking Solutions (MRTC) – local institution service provider, Blantyre (Malawi-wide coverage)</w:t>
      </w:r>
    </w:p>
    <w:p>
      <w:pPr>
        <w:spacing w:after="120" w:before="0" w:line="240" w:lineRule="auto"/>
      </w:pPr>
      <w:r>
        <w:rPr>
          <w:rFonts w:ascii="Times New Roman" w:hAnsi="Times New Roman" w:eastAsia="Times New Roman" w:cs="Times New Roman"/>
          <w:b/>
          <w:i w:val="0"/>
          <w:sz w:val="24"/>
          <w:u w:val="none"/>
        </w:rPr>
        <w:t xml:space="preserve">Date: </w:t>
      </w:r>
      <w:r>
        <w:rPr>
          <w:rFonts w:ascii="Times New Roman" w:hAnsi="Times New Roman" w:eastAsia="Times New Roman" w:cs="Times New Roman"/>
          <w:b w:val="0"/>
          <w:i w:val="0"/>
          <w:sz w:val="24"/>
          <w:u w:val="none"/>
        </w:rPr>
        <w:t xml:space="preserve">26 October 2026  |  </w:t>
      </w:r>
      <w:r>
        <w:rPr>
          <w:rFonts w:ascii="Times New Roman" w:hAnsi="Times New Roman" w:eastAsia="Times New Roman" w:cs="Times New Roman"/>
          <w:b/>
          <w:i w:val="0"/>
          <w:sz w:val="24"/>
          <w:u w:val="none"/>
        </w:rPr>
        <w:t xml:space="preserve">Contact: </w:t>
      </w:r>
      <w:r>
        <w:rPr>
          <w:rFonts w:ascii="Times New Roman" w:hAnsi="Times New Roman" w:eastAsia="Times New Roman" w:cs="Times New Roman"/>
          <w:b w:val="0"/>
          <w:i w:val="0"/>
          <w:sz w:val="24"/>
          <w:u w:val="none"/>
        </w:rPr>
        <w:t>Francis Fweta, Lead – Research, MEAL and Development Programmes, fwetafrancis@gmail.com, +265 993 888 578</w:t>
      </w:r>
    </w:p>
    <w:p>
      <w:pPr>
        <w:keepNext/>
        <w:spacing w:before="120" w:after="80" w:line="240" w:lineRule="auto"/>
      </w:pPr>
      <w:r>
        <w:rPr>
          <w:rFonts w:ascii="Times New Roman" w:hAnsi="Times New Roman" w:eastAsia="Times New Roman" w:cs="Times New Roman"/>
          <w:b/>
          <w:i w:val="0"/>
          <w:sz w:val="24"/>
          <w:u w:val="none"/>
        </w:rPr>
        <w:t>1.  Introduction</w:t>
      </w:r>
    </w:p>
    <w:p>
      <w:pPr>
        <w:spacing w:after="80" w:before="0" w:line="240" w:lineRule="auto"/>
        <w:jc w:val="both"/>
      </w:pPr>
      <w:r>
        <w:rPr>
          <w:rFonts w:ascii="Times New Roman" w:hAnsi="Times New Roman" w:eastAsia="Times New Roman" w:cs="Times New Roman"/>
          <w:b w:val="0"/>
          <w:i w:val="0"/>
          <w:sz w:val="24"/>
          <w:u w:val="none"/>
        </w:rPr>
        <w:t>MRTC Research and Tasking Solutions (MRTC) expresses interest in inclusion in the Tilitonse Foundation Local Organization Strengthening Service Providers Database. MRTC is a Malawian multidisciplinary research, evaluation, data and capacity-development consultancy (headquartered in Blantyre, operating Malawi-wide) supporting evidence-informed programming. We offer practical technical assistance, training and mentoring to help local Civil Society Organisations (CSOs) and Community-Based Organisations (CBOs) strengthen systems, demonstrate results and sustain their work.</w:t>
      </w:r>
    </w:p>
    <w:tbl>
      <w:tblPr>
        <w:tblStyle w:val="TableGrid"/>
        <w:tblW w:type="auto" w:w="0"/>
        <w:jc w:val="center"/>
        <w:tblLayout w:type="autofit"/>
        <w:tblLook w:firstColumn="1" w:firstRow="1" w:lastColumn="0" w:lastRow="0" w:noHBand="0" w:noVBand="1" w:val="04A0"/>
      </w:tblPr>
      <w:tblGrid>
        <w:gridCol w:w="4876"/>
        <w:gridCol w:w="4876"/>
      </w:tblGrid>
      <w:tr>
        <w:tc>
          <w:tcPr>
            <w:tcW w:type="dxa" w:w="2551"/>
            <w:tcMar>
              <w:top w:w="60" w:type="dxa"/>
              <w:left w:w="60" w:type="dxa"/>
              <w:bottom w:w="60" w:type="dxa"/>
              <w:right w:w="60" w:type="dxa"/>
            </w:tcMar>
            <w:shd w:val="clear" w:color="auto" w:fill="D9D9D9"/>
          </w:tcPr>
          <w:p>
            <w:pPr>
              <w:spacing w:after="20" w:before="20" w:line="240" w:lineRule="auto"/>
              <w:jc w:val="center"/>
            </w:pPr>
            <w:r/>
            <w:r>
              <w:rPr>
                <w:rFonts w:ascii="Times New Roman" w:hAnsi="Times New Roman" w:eastAsia="Times New Roman" w:cs="Times New Roman"/>
                <w:b/>
                <w:i w:val="0"/>
                <w:sz w:val="24"/>
                <w:u w:val="none"/>
              </w:rPr>
              <w:t>Applicant at a glance</w:t>
            </w:r>
          </w:p>
        </w:tc>
        <w:tc>
          <w:tcPr>
            <w:tcW w:type="dxa" w:w="7087"/>
            <w:tcMar>
              <w:top w:w="60" w:type="dxa"/>
              <w:left w:w="60" w:type="dxa"/>
              <w:bottom w:w="60" w:type="dxa"/>
              <w:right w:w="60" w:type="dxa"/>
            </w:tcMar>
            <w:shd w:val="clear" w:color="auto" w:fill="D9D9D9"/>
          </w:tcPr>
          <w:p>
            <w:pPr>
              <w:spacing w:after="20" w:before="20" w:line="240" w:lineRule="auto"/>
              <w:jc w:val="center"/>
            </w:pPr>
            <w:r/>
            <w:r>
              <w:rPr>
                <w:rFonts w:ascii="Times New Roman" w:hAnsi="Times New Roman" w:eastAsia="Times New Roman" w:cs="Times New Roman"/>
                <w:b/>
                <w:i w:val="0"/>
                <w:sz w:val="24"/>
                <w:u w:val="none"/>
              </w:rPr>
              <w:t>Particulars</w:t>
            </w:r>
          </w:p>
        </w:tc>
      </w:tr>
      <w:tr>
        <w:tc>
          <w:tcPr>
            <w:tcW w:type="dxa" w:w="2551"/>
            <w:tcMar>
              <w:top w:w="60" w:type="dxa"/>
              <w:left w:w="60" w:type="dxa"/>
              <w:bottom w:w="60" w:type="dxa"/>
              <w:right w:w="60" w:type="dxa"/>
            </w:tcMar>
          </w:tcPr>
          <w:p>
            <w:pPr>
              <w:spacing w:after="20" w:before="20" w:line="240" w:lineRule="auto"/>
            </w:pPr>
            <w:r/>
            <w:r>
              <w:rPr>
                <w:rFonts w:ascii="Times New Roman" w:hAnsi="Times New Roman" w:eastAsia="Times New Roman" w:cs="Times New Roman"/>
                <w:b w:val="0"/>
                <w:i w:val="0"/>
                <w:sz w:val="24"/>
                <w:u w:val="none"/>
              </w:rPr>
              <w:t>Legal / trading name</w:t>
            </w:r>
          </w:p>
        </w:tc>
        <w:tc>
          <w:tcPr>
            <w:tcW w:type="dxa" w:w="7087"/>
            <w:tcMar>
              <w:top w:w="60" w:type="dxa"/>
              <w:left w:w="60" w:type="dxa"/>
              <w:bottom w:w="60" w:type="dxa"/>
              <w:right w:w="60" w:type="dxa"/>
            </w:tcMar>
          </w:tcPr>
          <w:p>
            <w:pPr>
              <w:spacing w:after="20" w:before="20" w:line="240" w:lineRule="auto"/>
            </w:pPr>
            <w:r/>
            <w:r>
              <w:rPr>
                <w:rFonts w:ascii="Times New Roman" w:hAnsi="Times New Roman" w:eastAsia="Times New Roman" w:cs="Times New Roman"/>
                <w:b w:val="0"/>
                <w:i w:val="0"/>
                <w:sz w:val="24"/>
                <w:u w:val="none"/>
              </w:rPr>
              <w:t>Francis Fweta trading as MRTC Research and Tasking Solutions (MRTC)</w:t>
            </w:r>
          </w:p>
        </w:tc>
      </w:tr>
      <w:tr>
        <w:tc>
          <w:tcPr>
            <w:tcW w:type="dxa" w:w="2551"/>
            <w:tcMar>
              <w:top w:w="60" w:type="dxa"/>
              <w:left w:w="60" w:type="dxa"/>
              <w:bottom w:w="60" w:type="dxa"/>
              <w:right w:w="60" w:type="dxa"/>
            </w:tcMar>
          </w:tcPr>
          <w:p>
            <w:pPr>
              <w:spacing w:after="20" w:before="20" w:line="240" w:lineRule="auto"/>
            </w:pPr>
            <w:r/>
            <w:r>
              <w:rPr>
                <w:rFonts w:ascii="Times New Roman" w:hAnsi="Times New Roman" w:eastAsia="Times New Roman" w:cs="Times New Roman"/>
                <w:b w:val="0"/>
                <w:i w:val="0"/>
                <w:sz w:val="24"/>
                <w:u w:val="none"/>
              </w:rPr>
              <w:t>Registration and tax</w:t>
            </w:r>
          </w:p>
        </w:tc>
        <w:tc>
          <w:tcPr>
            <w:tcW w:type="dxa" w:w="7087"/>
            <w:tcMar>
              <w:top w:w="60" w:type="dxa"/>
              <w:left w:w="60" w:type="dxa"/>
              <w:bottom w:w="60" w:type="dxa"/>
              <w:right w:w="60" w:type="dxa"/>
            </w:tcMar>
          </w:tcPr>
          <w:p>
            <w:pPr>
              <w:spacing w:after="20" w:before="20" w:line="240" w:lineRule="auto"/>
            </w:pPr>
            <w:r/>
            <w:r>
              <w:rPr>
                <w:rFonts w:ascii="Times New Roman" w:hAnsi="Times New Roman" w:eastAsia="Times New Roman" w:cs="Times New Roman"/>
                <w:b w:val="0"/>
                <w:i w:val="0"/>
                <w:sz w:val="24"/>
                <w:u w:val="none"/>
              </w:rPr>
              <w:t>Business Registration No. BRN-PKSJDLR (6 November 2024 – 6 November 2027). Registered for tax with Malawi Revenue Authority: TIN 71426102; Certificate No. MRA/TIN/BSTO/00417547.</w:t>
            </w:r>
          </w:p>
        </w:tc>
      </w:tr>
      <w:tr>
        <w:tc>
          <w:tcPr>
            <w:tcW w:type="dxa" w:w="2551"/>
            <w:tcMar>
              <w:top w:w="60" w:type="dxa"/>
              <w:left w:w="60" w:type="dxa"/>
              <w:bottom w:w="60" w:type="dxa"/>
              <w:right w:w="60" w:type="dxa"/>
            </w:tcMar>
          </w:tcPr>
          <w:p>
            <w:pPr>
              <w:spacing w:after="20" w:before="20" w:line="240" w:lineRule="auto"/>
            </w:pPr>
            <w:r/>
            <w:r>
              <w:rPr>
                <w:rFonts w:ascii="Times New Roman" w:hAnsi="Times New Roman" w:eastAsia="Times New Roman" w:cs="Times New Roman"/>
                <w:b w:val="0"/>
                <w:i w:val="0"/>
                <w:sz w:val="24"/>
                <w:u w:val="none"/>
              </w:rPr>
              <w:t>Availability</w:t>
            </w:r>
          </w:p>
        </w:tc>
        <w:tc>
          <w:tcPr>
            <w:tcW w:type="dxa" w:w="7087"/>
            <w:tcMar>
              <w:top w:w="60" w:type="dxa"/>
              <w:left w:w="60" w:type="dxa"/>
              <w:bottom w:w="60" w:type="dxa"/>
              <w:right w:w="60" w:type="dxa"/>
            </w:tcMar>
          </w:tcPr>
          <w:p>
            <w:pPr>
              <w:spacing w:after="20" w:before="20" w:line="240" w:lineRule="auto"/>
            </w:pPr>
            <w:r/>
            <w:r>
              <w:rPr>
                <w:rFonts w:ascii="Times New Roman" w:hAnsi="Times New Roman" w:eastAsia="Times New Roman" w:cs="Times New Roman"/>
                <w:b w:val="0"/>
                <w:i w:val="0"/>
                <w:sz w:val="24"/>
                <w:u w:val="none"/>
              </w:rPr>
              <w:t>Available for short-term assignments as needed; Blantyre-based team mobilisable to all regions.</w:t>
            </w:r>
          </w:p>
        </w:tc>
      </w:tr>
    </w:tbl>
    <w:p>
      <w:pPr>
        <w:widowControl/>
        <w:spacing w:after="40" w:before="0" w:line="240" w:lineRule="auto"/>
      </w:pPr>
    </w:p>
    <w:p>
      <w:pPr>
        <w:keepNext/>
        <w:spacing w:before="200" w:after="80" w:line="240" w:lineRule="auto"/>
      </w:pPr>
      <w:r>
        <w:rPr>
          <w:rFonts w:ascii="Times New Roman" w:hAnsi="Times New Roman" w:eastAsia="Times New Roman" w:cs="Times New Roman"/>
          <w:b/>
          <w:i w:val="0"/>
          <w:sz w:val="24"/>
          <w:u w:val="none"/>
        </w:rPr>
        <w:t>2.  Understanding of the assignment</w:t>
      </w:r>
    </w:p>
    <w:p>
      <w:pPr>
        <w:spacing w:after="80" w:before="0" w:line="240" w:lineRule="auto"/>
        <w:jc w:val="both"/>
      </w:pPr>
      <w:r>
        <w:rPr>
          <w:rFonts w:ascii="Times New Roman" w:hAnsi="Times New Roman" w:eastAsia="Times New Roman" w:cs="Times New Roman"/>
          <w:b w:val="0"/>
          <w:i w:val="0"/>
          <w:sz w:val="24"/>
          <w:u w:val="none"/>
        </w:rPr>
        <w:t>MRTC understands the database supports Programme Objective 3 – capable local providers helping grant partners implement effectively under Shift the Power (StP) principles – and will be used mainly by Tilitonse grant-partner CSOs/CBOs across Early Childhood Development, Gender Justice, Mental Health, Safe and Secure Shelter and Climate Change (particularly urbanisation). Effective strengthening requires usable systems, skills transfer and local ownership, not one-off training alone. Our offer is therefore tailored, needs-based support scaled to each organisation’s mandate and capacity, especially small-to-medium CSOs and CBOs.</w:t>
      </w:r>
    </w:p>
    <w:p>
      <w:pPr>
        <w:keepNext/>
        <w:spacing w:before="200" w:after="80" w:line="240" w:lineRule="auto"/>
      </w:pPr>
      <w:r>
        <w:rPr>
          <w:rFonts w:ascii="Times New Roman" w:hAnsi="Times New Roman" w:eastAsia="Times New Roman" w:cs="Times New Roman"/>
          <w:b/>
          <w:i w:val="0"/>
          <w:sz w:val="24"/>
          <w:u w:val="none"/>
        </w:rPr>
        <w:t>3.  Areas of expertise offered</w:t>
      </w:r>
    </w:p>
    <w:p>
      <w:pPr>
        <w:spacing w:after="80" w:before="0" w:line="240" w:lineRule="auto"/>
        <w:jc w:val="both"/>
      </w:pPr>
      <w:r>
        <w:rPr>
          <w:rFonts w:ascii="Times New Roman" w:hAnsi="Times New Roman" w:eastAsia="Times New Roman" w:cs="Times New Roman"/>
          <w:b w:val="0"/>
          <w:i w:val="0"/>
          <w:sz w:val="24"/>
          <w:u w:val="none"/>
        </w:rPr>
        <w:t>MRTC seeks registration principally in the four areas below (Tilitonse numbering in brackets), with gender, inclusion and risk as cross-cutting strengths:</w:t>
      </w:r>
    </w:p>
    <w:tbl>
      <w:tblPr>
        <w:tblStyle w:val="TableGrid"/>
        <w:tblW w:type="auto" w:w="0"/>
        <w:jc w:val="center"/>
        <w:tblLayout w:type="autofit"/>
        <w:tblLook w:firstColumn="1" w:firstRow="1" w:lastColumn="0" w:lastRow="0" w:noHBand="0" w:noVBand="1" w:val="04A0"/>
      </w:tblPr>
      <w:tblGrid>
        <w:gridCol w:w="4876"/>
        <w:gridCol w:w="4876"/>
      </w:tblGrid>
      <w:tr>
        <w:tc>
          <w:tcPr>
            <w:tcW w:type="dxa" w:w="2948"/>
            <w:tcMar>
              <w:top w:w="60" w:type="dxa"/>
              <w:left w:w="60" w:type="dxa"/>
              <w:bottom w:w="60" w:type="dxa"/>
              <w:right w:w="60" w:type="dxa"/>
            </w:tcMar>
            <w:shd w:val="clear" w:color="auto" w:fill="D9D9D9"/>
          </w:tcPr>
          <w:p>
            <w:pPr>
              <w:spacing w:after="20" w:before="20" w:line="240" w:lineRule="auto"/>
              <w:jc w:val="center"/>
            </w:pPr>
            <w:r/>
            <w:r>
              <w:rPr>
                <w:rFonts w:ascii="Times New Roman" w:hAnsi="Times New Roman" w:eastAsia="Times New Roman" w:cs="Times New Roman"/>
                <w:b/>
                <w:i w:val="0"/>
                <w:sz w:val="24"/>
                <w:u w:val="none"/>
              </w:rPr>
              <w:t>Primary area</w:t>
            </w:r>
          </w:p>
        </w:tc>
        <w:tc>
          <w:tcPr>
            <w:tcW w:type="dxa" w:w="6690"/>
            <w:tcMar>
              <w:top w:w="60" w:type="dxa"/>
              <w:left w:w="60" w:type="dxa"/>
              <w:bottom w:w="60" w:type="dxa"/>
              <w:right w:w="60" w:type="dxa"/>
            </w:tcMar>
            <w:shd w:val="clear" w:color="auto" w:fill="D9D9D9"/>
          </w:tcPr>
          <w:p>
            <w:pPr>
              <w:spacing w:after="20" w:before="20" w:line="240" w:lineRule="auto"/>
              <w:jc w:val="center"/>
            </w:pPr>
            <w:r/>
            <w:r>
              <w:rPr>
                <w:rFonts w:ascii="Times New Roman" w:hAnsi="Times New Roman" w:eastAsia="Times New Roman" w:cs="Times New Roman"/>
                <w:b/>
                <w:i w:val="0"/>
                <w:sz w:val="24"/>
                <w:u w:val="none"/>
              </w:rPr>
              <w:t>What MRTC will do for a CSO/CBO</w:t>
            </w:r>
          </w:p>
        </w:tc>
      </w:tr>
      <w:tr>
        <w:tc>
          <w:tcPr>
            <w:tcW w:type="dxa" w:w="2948"/>
            <w:tcMar>
              <w:top w:w="60" w:type="dxa"/>
              <w:left w:w="60" w:type="dxa"/>
              <w:bottom w:w="60" w:type="dxa"/>
              <w:right w:w="60" w:type="dxa"/>
            </w:tcMar>
          </w:tcPr>
          <w:p>
            <w:pPr>
              <w:spacing w:after="20" w:before="20" w:line="240" w:lineRule="auto"/>
            </w:pPr>
            <w:r/>
            <w:r>
              <w:rPr>
                <w:rFonts w:ascii="Times New Roman" w:hAnsi="Times New Roman" w:eastAsia="Times New Roman" w:cs="Times New Roman"/>
                <w:b/>
                <w:i w:val="0"/>
                <w:sz w:val="24"/>
                <w:u w:val="none"/>
              </w:rPr>
              <w:t>Results-based management (8), incl. MERL</w:t>
            </w:r>
          </w:p>
        </w:tc>
        <w:tc>
          <w:tcPr>
            <w:tcW w:type="dxa" w:w="6690"/>
            <w:tcMar>
              <w:top w:w="60" w:type="dxa"/>
              <w:left w:w="60" w:type="dxa"/>
              <w:bottom w:w="60" w:type="dxa"/>
              <w:right w:w="60" w:type="dxa"/>
            </w:tcMar>
          </w:tcPr>
          <w:p>
            <w:pPr>
              <w:spacing w:after="20" w:before="20" w:line="240" w:lineRule="auto"/>
            </w:pPr>
            <w:r/>
            <w:r>
              <w:rPr>
                <w:rFonts w:ascii="Times New Roman" w:hAnsi="Times New Roman" w:eastAsia="Times New Roman" w:cs="Times New Roman"/>
                <w:b w:val="0"/>
                <w:i w:val="0"/>
                <w:sz w:val="24"/>
                <w:u w:val="none"/>
              </w:rPr>
              <w:t>Theories of change, results/logical frameworks, indicators and MEAL plans; data tools, quality assurance and reporting templates; baselines, reviews and endline evaluations; data use for decisions.</w:t>
            </w:r>
          </w:p>
        </w:tc>
      </w:tr>
      <w:tr>
        <w:tc>
          <w:tcPr>
            <w:tcW w:type="dxa" w:w="2948"/>
            <w:tcMar>
              <w:top w:w="60" w:type="dxa"/>
              <w:left w:w="60" w:type="dxa"/>
              <w:bottom w:w="60" w:type="dxa"/>
              <w:right w:w="60" w:type="dxa"/>
            </w:tcMar>
          </w:tcPr>
          <w:p>
            <w:pPr>
              <w:spacing w:after="20" w:before="20" w:line="240" w:lineRule="auto"/>
            </w:pPr>
            <w:r/>
            <w:r>
              <w:rPr>
                <w:rFonts w:ascii="Times New Roman" w:hAnsi="Times New Roman" w:eastAsia="Times New Roman" w:cs="Times New Roman"/>
                <w:b/>
                <w:i w:val="0"/>
                <w:sz w:val="24"/>
                <w:u w:val="none"/>
              </w:rPr>
              <w:t>Programming: design and implementation (7)</w:t>
            </w:r>
          </w:p>
        </w:tc>
        <w:tc>
          <w:tcPr>
            <w:tcW w:type="dxa" w:w="6690"/>
            <w:tcMar>
              <w:top w:w="60" w:type="dxa"/>
              <w:left w:w="60" w:type="dxa"/>
              <w:bottom w:w="60" w:type="dxa"/>
              <w:right w:w="60" w:type="dxa"/>
            </w:tcMar>
          </w:tcPr>
          <w:p>
            <w:pPr>
              <w:spacing w:after="20" w:before="20" w:line="240" w:lineRule="auto"/>
            </w:pPr>
            <w:r/>
            <w:r>
              <w:rPr>
                <w:rFonts w:ascii="Times New Roman" w:hAnsi="Times New Roman" w:eastAsia="Times New Roman" w:cs="Times New Roman"/>
                <w:b w:val="0"/>
                <w:i w:val="0"/>
                <w:sz w:val="24"/>
                <w:u w:val="none"/>
              </w:rPr>
              <w:t>Needs/situation analyses; evidence-informed design, workplans and performance tools; programme monitoring, learning reviews and adaptive management.</w:t>
            </w:r>
          </w:p>
        </w:tc>
      </w:tr>
      <w:tr>
        <w:tc>
          <w:tcPr>
            <w:tcW w:type="dxa" w:w="2948"/>
            <w:tcMar>
              <w:top w:w="60" w:type="dxa"/>
              <w:left w:w="60" w:type="dxa"/>
              <w:bottom w:w="60" w:type="dxa"/>
              <w:right w:w="60" w:type="dxa"/>
            </w:tcMar>
          </w:tcPr>
          <w:p>
            <w:pPr>
              <w:spacing w:after="20" w:before="20" w:line="240" w:lineRule="auto"/>
            </w:pPr>
            <w:r/>
            <w:r>
              <w:rPr>
                <w:rFonts w:ascii="Times New Roman" w:hAnsi="Times New Roman" w:eastAsia="Times New Roman" w:cs="Times New Roman"/>
                <w:b/>
                <w:i w:val="0"/>
                <w:sz w:val="24"/>
                <w:u w:val="none"/>
              </w:rPr>
              <w:t>Knowledge management and communication (9)</w:t>
            </w:r>
          </w:p>
        </w:tc>
        <w:tc>
          <w:tcPr>
            <w:tcW w:type="dxa" w:w="6690"/>
            <w:tcMar>
              <w:top w:w="60" w:type="dxa"/>
              <w:left w:w="60" w:type="dxa"/>
              <w:bottom w:w="60" w:type="dxa"/>
              <w:right w:w="60" w:type="dxa"/>
            </w:tcMar>
          </w:tcPr>
          <w:p>
            <w:pPr>
              <w:spacing w:after="20" w:before="20" w:line="240" w:lineRule="auto"/>
            </w:pPr>
            <w:r/>
            <w:r>
              <w:rPr>
                <w:rFonts w:ascii="Times New Roman" w:hAnsi="Times New Roman" w:eastAsia="Times New Roman" w:cs="Times New Roman"/>
                <w:b w:val="0"/>
                <w:i w:val="0"/>
                <w:sz w:val="24"/>
                <w:u w:val="none"/>
              </w:rPr>
              <w:t>Research/assessment/evaluation reports and learning products; data management and visualisation (dashboards); documentation and sharing of results and lessons.</w:t>
            </w:r>
          </w:p>
        </w:tc>
      </w:tr>
      <w:tr>
        <w:tc>
          <w:tcPr>
            <w:tcW w:type="dxa" w:w="2948"/>
            <w:tcMar>
              <w:top w:w="60" w:type="dxa"/>
              <w:left w:w="60" w:type="dxa"/>
              <w:bottom w:w="60" w:type="dxa"/>
              <w:right w:w="60" w:type="dxa"/>
            </w:tcMar>
          </w:tcPr>
          <w:p>
            <w:pPr>
              <w:spacing w:after="20" w:before="20" w:line="240" w:lineRule="auto"/>
            </w:pPr>
            <w:r/>
            <w:r>
              <w:rPr>
                <w:rFonts w:ascii="Times New Roman" w:hAnsi="Times New Roman" w:eastAsia="Times New Roman" w:cs="Times New Roman"/>
                <w:b/>
                <w:i w:val="0"/>
                <w:sz w:val="24"/>
                <w:u w:val="none"/>
              </w:rPr>
              <w:t>Resource mobilisation (5)</w:t>
            </w:r>
          </w:p>
        </w:tc>
        <w:tc>
          <w:tcPr>
            <w:tcW w:type="dxa" w:w="6690"/>
            <w:tcMar>
              <w:top w:w="60" w:type="dxa"/>
              <w:left w:w="60" w:type="dxa"/>
              <w:bottom w:w="60" w:type="dxa"/>
              <w:right w:w="60" w:type="dxa"/>
            </w:tcMar>
          </w:tcPr>
          <w:p>
            <w:pPr>
              <w:spacing w:after="20" w:before="20" w:line="240" w:lineRule="auto"/>
            </w:pPr>
            <w:r/>
            <w:r>
              <w:rPr>
                <w:rFonts w:ascii="Times New Roman" w:hAnsi="Times New Roman" w:eastAsia="Times New Roman" w:cs="Times New Roman"/>
                <w:b w:val="0"/>
                <w:i w:val="0"/>
                <w:sz w:val="24"/>
                <w:u w:val="none"/>
              </w:rPr>
              <w:t>Concept notes and proposals with results frameworks; opportunity mapping; use of documented results and evidence in applications; sustainability planning.</w:t>
            </w:r>
          </w:p>
        </w:tc>
      </w:tr>
    </w:tbl>
    <w:p>
      <w:pPr>
        <w:widowControl/>
        <w:spacing w:after="40" w:before="0" w:line="240" w:lineRule="auto"/>
      </w:pPr>
    </w:p>
    <w:p>
      <w:pPr>
        <w:spacing w:after="80" w:before="0" w:line="240" w:lineRule="auto"/>
        <w:jc w:val="both"/>
      </w:pPr>
      <w:r>
        <w:rPr>
          <w:rFonts w:ascii="Times New Roman" w:hAnsi="Times New Roman" w:eastAsia="Times New Roman" w:cs="Times New Roman"/>
          <w:b/>
          <w:i w:val="0"/>
          <w:sz w:val="24"/>
          <w:u w:val="none"/>
        </w:rPr>
        <w:t xml:space="preserve">Cross-cutting: </w:t>
      </w:r>
      <w:r>
        <w:rPr>
          <w:rFonts w:ascii="Times New Roman" w:hAnsi="Times New Roman" w:eastAsia="Times New Roman" w:cs="Times New Roman"/>
          <w:b w:val="0"/>
          <w:i w:val="0"/>
          <w:sz w:val="24"/>
          <w:u w:val="none"/>
        </w:rPr>
        <w:t xml:space="preserve">Gender and social inclusion (10) – inclusive, disaggregated data and participatory engagement, including disability inclusion; Risk management (6) – programme and climate/disaster risk-informed planning. Climate resilience and humanitarian monitoring expertise supports climate-theme partners. </w:t>
      </w:r>
      <w:r>
        <w:rPr>
          <w:rFonts w:ascii="Times New Roman" w:hAnsi="Times New Roman" w:eastAsia="Times New Roman" w:cs="Times New Roman"/>
          <w:b/>
          <w:i w:val="0"/>
          <w:sz w:val="24"/>
          <w:u w:val="none"/>
        </w:rPr>
        <w:t xml:space="preserve">Not offered as primary specialisms: </w:t>
      </w:r>
      <w:r>
        <w:rPr>
          <w:rFonts w:ascii="Times New Roman" w:hAnsi="Times New Roman" w:eastAsia="Times New Roman" w:cs="Times New Roman"/>
          <w:b w:val="0"/>
          <w:i w:val="0"/>
          <w:sz w:val="24"/>
          <w:u w:val="none"/>
        </w:rPr>
        <w:t>statutory audit, legal compliance and safeguarding investigations; where required MRTC would propose appropriately qualified specialists and work to the assignment terms.</w:t>
      </w:r>
    </w:p>
    <w:p>
      <w:pPr>
        <w:keepNext/>
        <w:spacing w:before="200" w:after="80" w:line="240" w:lineRule="auto"/>
      </w:pPr>
      <w:r>
        <w:rPr>
          <w:rFonts w:ascii="Times New Roman" w:hAnsi="Times New Roman" w:eastAsia="Times New Roman" w:cs="Times New Roman"/>
          <w:b/>
          <w:i w:val="0"/>
          <w:sz w:val="24"/>
          <w:u w:val="none"/>
        </w:rPr>
        <w:t>4.  Relevant experience (past three years)</w:t>
      </w:r>
    </w:p>
    <w:p>
      <w:pPr>
        <w:spacing w:after="80" w:before="0" w:line="240" w:lineRule="auto"/>
        <w:jc w:val="both"/>
      </w:pPr>
      <w:r>
        <w:rPr>
          <w:rFonts w:ascii="Times New Roman" w:hAnsi="Times New Roman" w:eastAsia="Times New Roman" w:cs="Times New Roman"/>
          <w:b w:val="0"/>
          <w:i w:val="0"/>
          <w:sz w:val="24"/>
          <w:u w:val="none"/>
        </w:rPr>
        <w:t xml:space="preserve">Documentary evidence (detailed in the accompanying Portfolio) demonstrates MRTC/team assessment, evaluation, monitoring and analysis that transfers directly to CSO strengthening: </w:t>
      </w:r>
      <w:r>
        <w:rPr>
          <w:rFonts w:ascii="Times New Roman" w:hAnsi="Times New Roman" w:eastAsia="Times New Roman" w:cs="Times New Roman"/>
          <w:b/>
          <w:i w:val="0"/>
          <w:sz w:val="24"/>
          <w:u w:val="none"/>
        </w:rPr>
        <w:t xml:space="preserve">(i) </w:t>
      </w:r>
      <w:r>
        <w:rPr>
          <w:rFonts w:ascii="Times New Roman" w:hAnsi="Times New Roman" w:eastAsia="Times New Roman" w:cs="Times New Roman"/>
          <w:b w:val="0"/>
          <w:i w:val="0"/>
          <w:sz w:val="24"/>
          <w:u w:val="none"/>
        </w:rPr>
        <w:t xml:space="preserve">ECHO Cyclone Jude Post-Distribution Monitoring Round 2 (CARE-led consortium, July 2025), authored by Francis Fweta as MRTC Consultant; </w:t>
      </w:r>
      <w:r>
        <w:rPr>
          <w:rFonts w:ascii="Times New Roman" w:hAnsi="Times New Roman" w:eastAsia="Times New Roman" w:cs="Times New Roman"/>
          <w:b/>
          <w:i w:val="0"/>
          <w:sz w:val="24"/>
          <w:u w:val="none"/>
        </w:rPr>
        <w:t xml:space="preserve">(ii) </w:t>
      </w:r>
      <w:r>
        <w:rPr>
          <w:rFonts w:ascii="Times New Roman" w:hAnsi="Times New Roman" w:eastAsia="Times New Roman" w:cs="Times New Roman"/>
          <w:b w:val="0"/>
          <w:i w:val="0"/>
          <w:sz w:val="24"/>
          <w:u w:val="none"/>
        </w:rPr>
        <w:t xml:space="preserve">DAPP Malawi Cyclone Freddy Endline Evaluation, Nsanje (July 2026; OECD-DAC/ALNAP), MRTC credited for analysis and report-production support; </w:t>
      </w:r>
      <w:r>
        <w:rPr>
          <w:rFonts w:ascii="Times New Roman" w:hAnsi="Times New Roman" w:eastAsia="Times New Roman" w:cs="Times New Roman"/>
          <w:b/>
          <w:i w:val="0"/>
          <w:sz w:val="24"/>
          <w:u w:val="none"/>
        </w:rPr>
        <w:t xml:space="preserve">(iii) </w:t>
      </w:r>
      <w:r>
        <w:rPr>
          <w:rFonts w:ascii="Times New Roman" w:hAnsi="Times New Roman" w:eastAsia="Times New Roman" w:cs="Times New Roman"/>
          <w:b w:val="0"/>
          <w:i w:val="0"/>
          <w:sz w:val="24"/>
          <w:u w:val="none"/>
        </w:rPr>
        <w:t xml:space="preserve">Community Climate Risk and Vulnerability Assessment (450 households, southern Malawi, August 2026); </w:t>
      </w:r>
      <w:r>
        <w:rPr>
          <w:rFonts w:ascii="Times New Roman" w:hAnsi="Times New Roman" w:eastAsia="Times New Roman" w:cs="Times New Roman"/>
          <w:b/>
          <w:i w:val="0"/>
          <w:sz w:val="24"/>
          <w:u w:val="none"/>
        </w:rPr>
        <w:t xml:space="preserve">(iv) </w:t>
      </w:r>
      <w:r>
        <w:rPr>
          <w:rFonts w:ascii="Times New Roman" w:hAnsi="Times New Roman" w:eastAsia="Times New Roman" w:cs="Times New Roman"/>
          <w:b w:val="0"/>
          <w:i w:val="0"/>
          <w:sz w:val="24"/>
          <w:u w:val="none"/>
        </w:rPr>
        <w:t>Climate Adaptation, Livelihood and Resilience Assessment (60 communities, 6 districts, August 2026). Team experience further includes UNEP/EAD National Adaptation Plan and climate-vulnerability work, USAID-funded MEAL and WFP resilience programming, digital MEAL systems, and training/mentoring of MEAL and field staff, including coordination roles supporting NGO capacity gaps. The Portfolio distinguishes MRTC assignments from team-member experience and shows relevance to Tilitonse objectives.</w:t>
      </w:r>
    </w:p>
    <w:p>
      <w:pPr>
        <w:keepNext/>
        <w:spacing w:before="200" w:after="80" w:line="240" w:lineRule="auto"/>
      </w:pPr>
      <w:r>
        <w:rPr>
          <w:rFonts w:ascii="Times New Roman" w:hAnsi="Times New Roman" w:eastAsia="Times New Roman" w:cs="Times New Roman"/>
          <w:b/>
          <w:i w:val="0"/>
          <w:sz w:val="24"/>
          <w:u w:val="none"/>
        </w:rPr>
        <w:t>5.  Technical team</w:t>
      </w:r>
    </w:p>
    <w:tbl>
      <w:tblPr>
        <w:tblStyle w:val="TableGrid"/>
        <w:tblW w:type="auto" w:w="0"/>
        <w:jc w:val="center"/>
        <w:tblLayout w:type="autofit"/>
        <w:tblLook w:firstColumn="1" w:firstRow="1" w:lastColumn="0" w:lastRow="0" w:noHBand="0" w:noVBand="1" w:val="04A0"/>
      </w:tblPr>
      <w:tblGrid>
        <w:gridCol w:w="4876"/>
        <w:gridCol w:w="4876"/>
      </w:tblGrid>
      <w:tr>
        <w:tc>
          <w:tcPr>
            <w:tcW w:type="dxa" w:w="2948"/>
            <w:tcMar>
              <w:top w:w="60" w:type="dxa"/>
              <w:left w:w="60" w:type="dxa"/>
              <w:bottom w:w="60" w:type="dxa"/>
              <w:right w:w="60" w:type="dxa"/>
            </w:tcMar>
            <w:shd w:val="clear" w:color="auto" w:fill="D9D9D9"/>
          </w:tcPr>
          <w:p>
            <w:pPr>
              <w:spacing w:after="20" w:before="20" w:line="240" w:lineRule="auto"/>
              <w:jc w:val="center"/>
            </w:pPr>
            <w:r/>
            <w:r>
              <w:rPr>
                <w:rFonts w:ascii="Times New Roman" w:hAnsi="Times New Roman" w:eastAsia="Times New Roman" w:cs="Times New Roman"/>
                <w:b/>
                <w:i w:val="0"/>
                <w:sz w:val="24"/>
                <w:u w:val="none"/>
              </w:rPr>
              <w:t>Person and role</w:t>
            </w:r>
          </w:p>
        </w:tc>
        <w:tc>
          <w:tcPr>
            <w:tcW w:type="dxa" w:w="6690"/>
            <w:tcMar>
              <w:top w:w="60" w:type="dxa"/>
              <w:left w:w="60" w:type="dxa"/>
              <w:bottom w:w="60" w:type="dxa"/>
              <w:right w:w="60" w:type="dxa"/>
            </w:tcMar>
            <w:shd w:val="clear" w:color="auto" w:fill="D9D9D9"/>
          </w:tcPr>
          <w:p>
            <w:pPr>
              <w:spacing w:after="20" w:before="20" w:line="240" w:lineRule="auto"/>
              <w:jc w:val="center"/>
            </w:pPr>
            <w:r/>
            <w:r>
              <w:rPr>
                <w:rFonts w:ascii="Times New Roman" w:hAnsi="Times New Roman" w:eastAsia="Times New Roman" w:cs="Times New Roman"/>
                <w:b/>
                <w:i w:val="0"/>
                <w:sz w:val="24"/>
                <w:u w:val="none"/>
              </w:rPr>
              <w:t>Relevant credentials</w:t>
            </w:r>
          </w:p>
        </w:tc>
      </w:tr>
      <w:tr>
        <w:tc>
          <w:tcPr>
            <w:tcW w:type="dxa" w:w="2948"/>
            <w:tcMar>
              <w:top w:w="60" w:type="dxa"/>
              <w:left w:w="60" w:type="dxa"/>
              <w:bottom w:w="60" w:type="dxa"/>
              <w:right w:w="60" w:type="dxa"/>
            </w:tcMar>
          </w:tcPr>
          <w:p>
            <w:pPr>
              <w:spacing w:after="20" w:before="20" w:line="240" w:lineRule="auto"/>
            </w:pPr>
            <w:r/>
            <w:r>
              <w:rPr>
                <w:rFonts w:ascii="Times New Roman" w:hAnsi="Times New Roman" w:eastAsia="Times New Roman" w:cs="Times New Roman"/>
                <w:b w:val="0"/>
                <w:i w:val="0"/>
                <w:sz w:val="24"/>
                <w:u w:val="none"/>
              </w:rPr>
              <w:t>Francis Fweta – Lead, Research/MEAL (Lead Consultant)</w:t>
            </w:r>
          </w:p>
        </w:tc>
        <w:tc>
          <w:tcPr>
            <w:tcW w:type="dxa" w:w="6690"/>
            <w:tcMar>
              <w:top w:w="60" w:type="dxa"/>
              <w:left w:w="60" w:type="dxa"/>
              <w:bottom w:w="60" w:type="dxa"/>
              <w:right w:w="60" w:type="dxa"/>
            </w:tcMar>
          </w:tcPr>
          <w:p>
            <w:pPr>
              <w:spacing w:after="20" w:before="20" w:line="240" w:lineRule="auto"/>
            </w:pPr>
            <w:r/>
            <w:r>
              <w:rPr>
                <w:rFonts w:ascii="Times New Roman" w:hAnsi="Times New Roman" w:eastAsia="Times New Roman" w:cs="Times New Roman"/>
                <w:b w:val="0"/>
                <w:i w:val="0"/>
                <w:sz w:val="24"/>
                <w:u w:val="none"/>
              </w:rPr>
              <w:t>MEAL/impact evaluation; RBM, ToC/logframes, PDM, digital MEAL/data systems; Masters in Agricultural Economics and in Information Systems.</w:t>
            </w:r>
          </w:p>
        </w:tc>
      </w:tr>
      <w:tr>
        <w:tc>
          <w:tcPr>
            <w:tcW w:type="dxa" w:w="2948"/>
            <w:tcMar>
              <w:top w:w="60" w:type="dxa"/>
              <w:left w:w="60" w:type="dxa"/>
              <w:bottom w:w="60" w:type="dxa"/>
              <w:right w:w="60" w:type="dxa"/>
            </w:tcMar>
          </w:tcPr>
          <w:p>
            <w:pPr>
              <w:spacing w:after="20" w:before="20" w:line="240" w:lineRule="auto"/>
            </w:pPr>
            <w:r/>
            <w:r>
              <w:rPr>
                <w:rFonts w:ascii="Times New Roman" w:hAnsi="Times New Roman" w:eastAsia="Times New Roman" w:cs="Times New Roman"/>
                <w:b w:val="0"/>
                <w:i w:val="0"/>
                <w:sz w:val="24"/>
                <w:u w:val="none"/>
              </w:rPr>
              <w:t>Dr Dennis Chandiona, PhD – Director, Research &amp; Analytics</w:t>
            </w:r>
          </w:p>
        </w:tc>
        <w:tc>
          <w:tcPr>
            <w:tcW w:type="dxa" w:w="6690"/>
            <w:tcMar>
              <w:top w:w="60" w:type="dxa"/>
              <w:left w:w="60" w:type="dxa"/>
              <w:bottom w:w="60" w:type="dxa"/>
              <w:right w:w="60" w:type="dxa"/>
            </w:tcMar>
          </w:tcPr>
          <w:p>
            <w:pPr>
              <w:spacing w:after="20" w:before="20" w:line="240" w:lineRule="auto"/>
            </w:pPr>
            <w:r/>
            <w:r>
              <w:rPr>
                <w:rFonts w:ascii="Times New Roman" w:hAnsi="Times New Roman" w:eastAsia="Times New Roman" w:cs="Times New Roman"/>
                <w:b w:val="0"/>
                <w:i w:val="0"/>
                <w:sz w:val="24"/>
                <w:u w:val="none"/>
              </w:rPr>
              <w:t>PhD, University of Cape Town (2026); research design, advanced analytics, market-systems/policy research; academic and programme leadership.</w:t>
            </w:r>
          </w:p>
        </w:tc>
      </w:tr>
      <w:tr>
        <w:tc>
          <w:tcPr>
            <w:tcW w:type="dxa" w:w="2948"/>
            <w:tcMar>
              <w:top w:w="60" w:type="dxa"/>
              <w:left w:w="60" w:type="dxa"/>
              <w:bottom w:w="60" w:type="dxa"/>
              <w:right w:w="60" w:type="dxa"/>
            </w:tcMar>
          </w:tcPr>
          <w:p>
            <w:pPr>
              <w:spacing w:after="20" w:before="20" w:line="240" w:lineRule="auto"/>
            </w:pPr>
            <w:r/>
            <w:r>
              <w:rPr>
                <w:rFonts w:ascii="Times New Roman" w:hAnsi="Times New Roman" w:eastAsia="Times New Roman" w:cs="Times New Roman"/>
                <w:b w:val="0"/>
                <w:i w:val="0"/>
                <w:sz w:val="24"/>
                <w:u w:val="none"/>
              </w:rPr>
              <w:t>Percival Mwale – Senior Lead, Quantitative/Statistics</w:t>
            </w:r>
          </w:p>
        </w:tc>
        <w:tc>
          <w:tcPr>
            <w:tcW w:type="dxa" w:w="6690"/>
            <w:tcMar>
              <w:top w:w="60" w:type="dxa"/>
              <w:left w:w="60" w:type="dxa"/>
              <w:bottom w:w="60" w:type="dxa"/>
              <w:right w:w="60" w:type="dxa"/>
            </w:tcMar>
          </w:tcPr>
          <w:p>
            <w:pPr>
              <w:spacing w:after="20" w:before="20" w:line="240" w:lineRule="auto"/>
            </w:pPr>
            <w:r/>
            <w:r>
              <w:rPr>
                <w:rFonts w:ascii="Times New Roman" w:hAnsi="Times New Roman" w:eastAsia="Times New Roman" w:cs="Times New Roman"/>
                <w:b w:val="0"/>
                <w:i w:val="0"/>
                <w:sz w:val="24"/>
                <w:u w:val="none"/>
              </w:rPr>
              <w:t>Applied statistics/economics; surveys, evaluations, DQA and dashboards (Stata/SPSS/Power BI); staff capacity-building.</w:t>
            </w:r>
          </w:p>
        </w:tc>
      </w:tr>
      <w:tr>
        <w:tc>
          <w:tcPr>
            <w:tcW w:type="dxa" w:w="2948"/>
            <w:tcMar>
              <w:top w:w="60" w:type="dxa"/>
              <w:left w:w="60" w:type="dxa"/>
              <w:bottom w:w="60" w:type="dxa"/>
              <w:right w:w="60" w:type="dxa"/>
            </w:tcMar>
          </w:tcPr>
          <w:p>
            <w:pPr>
              <w:spacing w:after="20" w:before="20" w:line="240" w:lineRule="auto"/>
            </w:pPr>
            <w:r/>
            <w:r>
              <w:rPr>
                <w:rFonts w:ascii="Times New Roman" w:hAnsi="Times New Roman" w:eastAsia="Times New Roman" w:cs="Times New Roman"/>
                <w:b w:val="0"/>
                <w:i w:val="0"/>
                <w:sz w:val="24"/>
                <w:u w:val="none"/>
              </w:rPr>
              <w:t>Malumbo Kumwenda – Lead, Health/Social Research</w:t>
            </w:r>
          </w:p>
        </w:tc>
        <w:tc>
          <w:tcPr>
            <w:tcW w:type="dxa" w:w="6690"/>
            <w:tcMar>
              <w:top w:w="60" w:type="dxa"/>
              <w:left w:w="60" w:type="dxa"/>
              <w:bottom w:w="60" w:type="dxa"/>
              <w:right w:w="60" w:type="dxa"/>
            </w:tcMar>
          </w:tcPr>
          <w:p>
            <w:pPr>
              <w:spacing w:after="20" w:before="20" w:line="240" w:lineRule="auto"/>
            </w:pPr>
            <w:r/>
            <w:r>
              <w:rPr>
                <w:rFonts w:ascii="Times New Roman" w:hAnsi="Times New Roman" w:eastAsia="Times New Roman" w:cs="Times New Roman"/>
                <w:b w:val="0"/>
                <w:i w:val="0"/>
                <w:sz w:val="24"/>
                <w:u w:val="none"/>
              </w:rPr>
              <w:t>Health/social and community research; mixed methods and capacity development.</w:t>
            </w:r>
          </w:p>
        </w:tc>
      </w:tr>
      <w:tr>
        <w:tc>
          <w:tcPr>
            <w:tcW w:type="dxa" w:w="2948"/>
            <w:tcMar>
              <w:top w:w="60" w:type="dxa"/>
              <w:left w:w="60" w:type="dxa"/>
              <w:bottom w:w="60" w:type="dxa"/>
              <w:right w:w="60" w:type="dxa"/>
            </w:tcMar>
          </w:tcPr>
          <w:p>
            <w:pPr>
              <w:spacing w:after="20" w:before="20" w:line="240" w:lineRule="auto"/>
            </w:pPr>
            <w:r/>
            <w:r>
              <w:rPr>
                <w:rFonts w:ascii="Times New Roman" w:hAnsi="Times New Roman" w:eastAsia="Times New Roman" w:cs="Times New Roman"/>
                <w:b w:val="0"/>
                <w:i w:val="0"/>
                <w:sz w:val="24"/>
                <w:u w:val="none"/>
              </w:rPr>
              <w:t>Collaborating specialists (subject to availability)</w:t>
            </w:r>
          </w:p>
        </w:tc>
        <w:tc>
          <w:tcPr>
            <w:tcW w:type="dxa" w:w="6690"/>
            <w:tcMar>
              <w:top w:w="60" w:type="dxa"/>
              <w:left w:w="60" w:type="dxa"/>
              <w:bottom w:w="60" w:type="dxa"/>
              <w:right w:w="60" w:type="dxa"/>
            </w:tcMar>
          </w:tcPr>
          <w:p>
            <w:pPr>
              <w:spacing w:after="20" w:before="20" w:line="240" w:lineRule="auto"/>
            </w:pPr>
            <w:r/>
            <w:r>
              <w:rPr>
                <w:rFonts w:ascii="Times New Roman" w:hAnsi="Times New Roman" w:eastAsia="Times New Roman" w:cs="Times New Roman"/>
                <w:b w:val="0"/>
                <w:i w:val="0"/>
                <w:sz w:val="24"/>
                <w:u w:val="none"/>
              </w:rPr>
              <w:t>Blessings Mlowoka (DRM, climate risk/early warning, NGO humanitarian coordination and MEAL); Talumba Maliwa, independent disability-inclusion specialist (Manager, Malawi Council for Disability Affairs, Thyolo; independent consulting capacity). Field operations led by Richard Jingo.</w:t>
            </w:r>
          </w:p>
        </w:tc>
      </w:tr>
    </w:tbl>
    <w:p>
      <w:pPr>
        <w:widowControl/>
        <w:spacing w:after="40" w:before="0" w:line="240" w:lineRule="auto"/>
      </w:pPr>
    </w:p>
    <w:p>
      <w:pPr>
        <w:spacing w:after="80" w:before="0" w:line="240" w:lineRule="auto"/>
        <w:jc w:val="both"/>
      </w:pPr>
      <w:r>
        <w:rPr>
          <w:rFonts w:ascii="Times New Roman" w:hAnsi="Times New Roman" w:eastAsia="Times New Roman" w:cs="Times New Roman"/>
          <w:b w:val="0"/>
          <w:i/>
          <w:sz w:val="24"/>
          <w:u w:val="none"/>
        </w:rPr>
        <w:t>Full CVs are submitted separately; a TOR-matched team would be proposed for each assignment.</w:t>
      </w:r>
    </w:p>
    <w:p>
      <w:pPr>
        <w:keepNext/>
        <w:spacing w:before="200" w:after="80" w:line="240" w:lineRule="auto"/>
      </w:pPr>
      <w:r>
        <w:rPr>
          <w:rFonts w:ascii="Times New Roman" w:hAnsi="Times New Roman" w:eastAsia="Times New Roman" w:cs="Times New Roman"/>
          <w:b/>
          <w:i w:val="0"/>
          <w:sz w:val="24"/>
          <w:u w:val="none"/>
        </w:rPr>
        <w:t>6.  Approach and commitment to Shift the Power</w:t>
      </w:r>
    </w:p>
    <w:p>
      <w:pPr>
        <w:spacing w:after="80" w:before="0" w:line="240" w:lineRule="auto"/>
        <w:jc w:val="both"/>
      </w:pPr>
      <w:r>
        <w:rPr>
          <w:rFonts w:ascii="Times New Roman" w:hAnsi="Times New Roman" w:eastAsia="Times New Roman" w:cs="Times New Roman"/>
          <w:b w:val="0"/>
          <w:i w:val="0"/>
          <w:sz w:val="24"/>
          <w:u w:val="none"/>
        </w:rPr>
        <w:t>Our delivery follows five steps: (1) joint organisational assessment; (2) agreed action plan with measures of progress; (3) tailored tools, training and mentoring; (4) supported practical application in planning, implementation, monitoring and reporting; (5) review and knowledge transfer so systems are maintained independently. We place local priorities, knowledge and leadership at the centre, promote inclusive participation and accountability to communities, strengthen evidence use, and build capacity without creating dependence on consultants.</w:t>
      </w:r>
    </w:p>
    <w:p>
      <w:pPr>
        <w:keepNext/>
        <w:spacing w:before="200" w:after="80" w:line="240" w:lineRule="auto"/>
      </w:pPr>
      <w:r>
        <w:rPr>
          <w:rFonts w:ascii="Times New Roman" w:hAnsi="Times New Roman" w:eastAsia="Times New Roman" w:cs="Times New Roman"/>
          <w:b/>
          <w:i w:val="0"/>
          <w:sz w:val="24"/>
          <w:u w:val="none"/>
        </w:rPr>
        <w:t>7.  Eligibility, references and daily rates</w:t>
      </w:r>
    </w:p>
    <w:p>
      <w:pPr>
        <w:spacing w:after="80" w:before="0" w:line="240" w:lineRule="auto"/>
        <w:jc w:val="both"/>
      </w:pPr>
      <w:r>
        <w:rPr>
          <w:rFonts w:ascii="Times New Roman" w:hAnsi="Times New Roman" w:eastAsia="Times New Roman" w:cs="Times New Roman"/>
          <w:b w:val="0"/>
          <w:i w:val="0"/>
          <w:sz w:val="24"/>
          <w:u w:val="none"/>
        </w:rPr>
        <w:t>MRTC is a local institution service provider with relevant postgraduate qualifications, proven analytical, communication and report-writing skills, and recent delivery experience. Referee contact details (with signed reference letters as issued by referees), evidence reports, and daily rates in Malawi Kwacha (Lead Consultant MWK 450,000 per day; full schedule submitted separately) accompany this expression of interest on the portal. MRTC would be pleased to be considered for inclusion in the database and to provide any further documentation requested.</w:t>
      </w:r>
    </w:p>
    <w:p>
      <w:pPr>
        <w:widowControl/>
        <w:spacing w:after="240" w:before="160" w:line="240" w:lineRule="auto"/>
      </w:pPr>
      <w:r>
        <w:rPr>
          <w:rFonts w:ascii="Times New Roman" w:hAnsi="Times New Roman" w:eastAsia="Times New Roman" w:cs="Times New Roman"/>
          <w:b w:val="0"/>
          <w:i w:val="0"/>
          <w:sz w:val="24"/>
          <w:u w:val="none"/>
        </w:rPr>
        <w:t>Signed for and on behalf of MRTC Research and Tasking Solutions:</w:t>
      </w:r>
    </w:p>
    <w:p>
      <w:pPr>
        <w:widowControl/>
        <w:spacing w:after="80" w:before="0" w:line="240" w:lineRule="auto"/>
      </w:pPr>
      <w:r>
        <w:rPr>
          <w:rFonts w:ascii="Times New Roman" w:hAnsi="Times New Roman" w:eastAsia="Times New Roman" w:cs="Times New Roman"/>
          <w:b w:val="0"/>
          <w:i w:val="0"/>
          <w:sz w:val="24"/>
          <w:u w:val="none"/>
        </w:rPr>
        <w:t>Signature: ________________________________________    Date: ____________________</w:t>
      </w:r>
    </w:p>
    <w:p>
      <w:pPr>
        <w:spacing w:after="40" w:before="0" w:line="240" w:lineRule="auto"/>
      </w:pPr>
      <w:r>
        <w:rPr>
          <w:rFonts w:ascii="Times New Roman" w:hAnsi="Times New Roman" w:eastAsia="Times New Roman" w:cs="Times New Roman"/>
          <w:b/>
          <w:i w:val="0"/>
          <w:sz w:val="24"/>
          <w:u w:val="none"/>
        </w:rPr>
        <w:t xml:space="preserve">Name: </w:t>
      </w:r>
      <w:r>
        <w:rPr>
          <w:rFonts w:ascii="Times New Roman" w:hAnsi="Times New Roman" w:eastAsia="Times New Roman" w:cs="Times New Roman"/>
          <w:b w:val="0"/>
          <w:i w:val="0"/>
          <w:sz w:val="24"/>
          <w:u w:val="none"/>
        </w:rPr>
        <w:t>Francis Fweta</w:t>
      </w:r>
    </w:p>
    <w:p>
      <w:pPr>
        <w:spacing w:after="40" w:before="0" w:line="240" w:lineRule="auto"/>
      </w:pPr>
      <w:r>
        <w:rPr>
          <w:rFonts w:ascii="Times New Roman" w:hAnsi="Times New Roman" w:eastAsia="Times New Roman" w:cs="Times New Roman"/>
          <w:b/>
          <w:i w:val="0"/>
          <w:sz w:val="24"/>
          <w:u w:val="none"/>
        </w:rPr>
        <w:t xml:space="preserve">Title: </w:t>
      </w:r>
      <w:r>
        <w:rPr>
          <w:rFonts w:ascii="Times New Roman" w:hAnsi="Times New Roman" w:eastAsia="Times New Roman" w:cs="Times New Roman"/>
          <w:b w:val="0"/>
          <w:i w:val="0"/>
          <w:sz w:val="24"/>
          <w:u w:val="none"/>
        </w:rPr>
        <w:t>Lead – Research, MEAL and Development Programmes (Authorised Representative)</w:t>
      </w:r>
    </w:p>
    <w:p>
      <w:pPr>
        <w:spacing w:after="40" w:before="0" w:line="240" w:lineRule="auto"/>
      </w:pPr>
      <w:r>
        <w:rPr>
          <w:rFonts w:ascii="Times New Roman" w:hAnsi="Times New Roman" w:eastAsia="Times New Roman" w:cs="Times New Roman"/>
          <w:b/>
          <w:i w:val="0"/>
          <w:sz w:val="24"/>
          <w:u w:val="none"/>
        </w:rPr>
        <w:t xml:space="preserve">Email: </w:t>
      </w:r>
      <w:r>
        <w:rPr>
          <w:rFonts w:ascii="Times New Roman" w:hAnsi="Times New Roman" w:eastAsia="Times New Roman" w:cs="Times New Roman"/>
          <w:b w:val="0"/>
          <w:i w:val="0"/>
          <w:sz w:val="24"/>
          <w:u w:val="none"/>
        </w:rPr>
        <w:t>fwetafrancis@gmail.com  |  Cell: +265 993 888 578 / +265 885 675 877</w:t>
      </w:r>
    </w:p>
    <w:p>
      <w:pPr>
        <w:spacing w:after="80" w:before="120" w:line="240" w:lineRule="auto"/>
      </w:pPr>
      <w:r>
        <w:rPr>
          <w:rFonts w:ascii="Times New Roman" w:hAnsi="Times New Roman" w:eastAsia="Times New Roman" w:cs="Times New Roman"/>
          <w:b/>
          <w:i w:val="0"/>
          <w:sz w:val="24"/>
          <w:u w:val="none"/>
        </w:rPr>
        <w:t xml:space="preserve">Copy: </w:t>
      </w:r>
      <w:r>
        <w:rPr>
          <w:rFonts w:ascii="Times New Roman" w:hAnsi="Times New Roman" w:eastAsia="Times New Roman" w:cs="Times New Roman"/>
          <w:b w:val="0"/>
          <w:i w:val="0"/>
          <w:sz w:val="24"/>
          <w:u w:val="none"/>
        </w:rPr>
        <w:t xml:space="preserve">Dr Dennis Chandiona, PhD, Director of Research, Technical Strategy and Advanced Analytics (dennis.chandiona@yahoo.com; +265 990 045 863).  </w:t>
      </w:r>
      <w:r>
        <w:rPr>
          <w:rFonts w:ascii="Times New Roman" w:hAnsi="Times New Roman" w:eastAsia="Times New Roman" w:cs="Times New Roman"/>
          <w:b/>
          <w:i w:val="0"/>
          <w:sz w:val="24"/>
          <w:u w:val="none"/>
        </w:rPr>
        <w:t xml:space="preserve">Enclosures (portal uploads): </w:t>
      </w:r>
      <w:r>
        <w:rPr>
          <w:rFonts w:ascii="Times New Roman" w:hAnsi="Times New Roman" w:eastAsia="Times New Roman" w:cs="Times New Roman"/>
          <w:b w:val="0"/>
          <w:i w:val="0"/>
          <w:sz w:val="24"/>
          <w:u w:val="none"/>
        </w:rPr>
        <w:t>detailed CVs; Evidence of Previous Work Portfolio and reports; References; Daily Rates in MWK; Tax and business registration particulars.</w:t>
      </w:r>
    </w:p>
    <w:sectPr w:rsidR="00FC693F" w:rsidRPr="0006063C" w:rsidSect="00034616">
      <w:footerReference w:type="default" r:id="rId9"/>
      <w:pgSz w:w="11906" w:h="16838"/>
      <w:pgMar w:top="1077" w:right="1077" w:bottom="1077" w:left="107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Times New Roman" w:hAnsi="Times New Roman" w:eastAsia="Times New Roman" w:cs="Times New Roman"/>
        <w:b w:val="0"/>
        <w:i w:val="0"/>
        <w:sz w:val="24"/>
        <w:u w:val="none"/>
      </w:rPr>
      <w:t xml:space="preserve">MRTC – Expression of Interest to Tilitonse Foundation  |  Page </w:t>
    </w:r>
    <w:r>
      <w:rPr>
        <w:rFonts w:ascii="Times New Roman" w:hAnsi="Times New Roman" w:eastAsia="Times New Roman" w:cs="Times New Roman"/>
        <w:b w:val="0"/>
        <w:i w:val="0"/>
        <w:sz w:val="24"/>
        <w:u w:val="none"/>
      </w:rPr>
      <w:fldChar w:fldCharType="begin"/>
    </w:r>
    <w:r>
      <w:rPr>
        <w:rFonts w:ascii="Times New Roman" w:hAnsi="Times New Roman" w:eastAsia="Times New Roman" w:cs="Times New Roman"/>
        <w:b w:val="0"/>
        <w:i w:val="0"/>
        <w:sz w:val="24"/>
        <w:u w:val="none"/>
      </w:rPr>
      <w:instrText xml:space="preserve"> PAGE </w:instrText>
    </w:r>
    <w:r>
      <w:rPr>
        <w:rFonts w:ascii="Times New Roman" w:hAnsi="Times New Roman" w:eastAsia="Times New Roman" w:cs="Times New Roman"/>
        <w:b w:val="0"/>
        <w:i w:val="0"/>
        <w:sz w:val="24"/>
        <w:u w:val="none"/>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80" w:before="0" w:line="24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line="240" w:lineRule="auto"/>
      <w:outlineLvl w:val="0"/>
    </w:pPr>
    <w:rPr>
      <w:rFonts w:asciiTheme="majorHAnsi" w:eastAsiaTheme="majorEastAsia" w:hAnsiTheme="majorHAnsi" w:cstheme="majorBidi" w:ascii="Times New Roman" w:hAnsi="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80" w:line="240" w:lineRule="auto"/>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80" w:line="240" w:lineRule="auto"/>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Expression of Interest – MRTC to Tilitonse Foundation</dc:title>
  <dc:subject/>
  <dc:creator>MRTC Research and Tasking Solutions</dc:creator>
  <cp:keywords/>
  <dc:description>generated by python-docx</dc:description>
  <cp:lastModifiedBy/>
  <cp:revision>1</cp:revision>
  <dcterms:created xsi:type="dcterms:W3CDTF">2013-12-23T23:15:00Z</dcterms:created>
  <dcterms:modified xsi:type="dcterms:W3CDTF">2013-12-23T23:15:00Z</dcterms:modified>
  <cp:category/>
</cp:coreProperties>
</file>