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MRTC RESEARCH AND TASKING SOLUTIONS (MRTC)</w:t>
      </w:r>
    </w:p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Blantyre, Malawi  |  Phone: +265 885 675 877 / +265 993 888 578</w:t>
      </w:r>
    </w:p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Email: mrtc-solutions@gmail.com  |  Website: https://mrtc-solutions.netlify.app</w:t>
      </w:r>
    </w:p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Business Registration No.: BRN-PKSJDLR  |  TIN: 71426102 (MRA Certificate No. MRA/TIN/BSTO/00417547)</w:t>
      </w:r>
    </w:p>
    <w:p>
      <w:pPr>
        <w:spacing w:before="40" w:after="160"/>
        <w:pBdr>
          <w:bottom w:val="single" w:sz="6" w:space="1" w:color="000000"/>
        </w:pBdr>
      </w:pPr>
    </w:p>
    <w:p>
      <w:pPr>
        <w:widowControl/>
        <w:spacing w:after="40" w:before="4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EVIDENCE OF PREVIOUS WORK: PORTFOLIO</w:t>
      </w:r>
    </w:p>
    <w:p>
      <w:pPr>
        <w:widowControl/>
        <w:spacing w:after="120" w:before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Tilitonse Foundation – Local Organization Strengthening Service Providers Database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Applicant: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MRTC Research and Tasking Solutions (MRTC). This portfolio is the cover and attribution note for the report files uploaded with it. It states the commissioning context and MRTC/team role for each sample without overstating direct contracts: where experience belongs to a team member’s prior employment or consultancy, this is identified as team experience. Website: https://mrtc-solutions.netlify.app.</w:t>
      </w: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1.  Documentary evidence submitted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Work sample (uploaded file)</w:t>
            </w:r>
          </w:p>
        </w:tc>
        <w:tc>
          <w:tcPr>
            <w:tcW w:type="dxa" w:w="3685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Year, context and MRTC/team role</w:t>
            </w:r>
          </w:p>
        </w:tc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Skills and Tilitonse relevance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1. ECHO Cyclone Jude Post-Distribution Monitoring Round 2 Analysis Report (2).pdf (13 pp.)</w:t>
            </w:r>
          </w:p>
        </w:tc>
        <w:tc>
          <w:tcPr>
            <w:tcW w:type="dxa" w:w="368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July 2025. ECHO Humanitarian Implementation in Malawi; CARE Malawi-led consortium (YONECCO, Save the Children, Self Help Africa crisis modifier). 1,530 cash beneficiaries (MWK 70,000/household) in Chikwawa, Nsanje, Thyolo and Zomba; Cochran sample 384 adjusted to 305, achieved 238; 95.4% timing satisfaction. Role: led, designed and authored by Francis Fweta, MEAL Professional – MRTC Consultant (stated on cover and certification page).</w:t>
            </w:r>
          </w:p>
        </w:tc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Humanitarian MEAL/PDM design, sampling, analysis, accountability and report writing. Transferable to CSOs: building PDM and beneficiary-accountability systems [RBM (8), Programming (7), Knowledge Management (9)].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2. DAPP Malawi Cyclone Freddy Endline Evaluation Report.pdf (47 pp.)</w:t>
            </w:r>
          </w:p>
        </w:tc>
        <w:tc>
          <w:tcPr>
            <w:tcW w:type="dxa" w:w="368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July 2026. DAPP Malawi humanitarian response/recovery, Nsanje (Khope and Mnembe camps; 1,300 households; evaluation sample 67). OECD-DAC (2019) and ALNAP framework; project from March 2023. Role: official report issued under DAPP Malawi; Francis Fweta/MRTC credited (Table 41) for endline data analysis, OECD-DAC synthesis, visualisation and report-production support only.</w:t>
            </w:r>
          </w:p>
        </w:tc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Endline/outcome evaluation and evidence synthesis. Transferable: teaching CSOs endline design, indicator analysis and learning for accountability [RBM (8), Programming (7), KM (9)].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3. Community Climate Risk and Vulnerability Assessment.pdf (18 pp.)</w:t>
            </w:r>
          </w:p>
        </w:tc>
        <w:tc>
          <w:tcPr>
            <w:tcW w:type="dxa" w:w="368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August 2026 (field data). 450 households, 12 communities, 7 southern-Malawi districts; IPCC AR6 vulnerability framework; mean vulnerability 43.2, resilience 41.8; highest vulnerability in Chikwawa/Machinga. Role: MRTC assessment/analytical work sample (design, indices, analysis and reporting) as presented in MRTC’s expression of interest; this portfolio provides the attribution cover because the PDF itself carries no MRTC byline.</w:t>
            </w:r>
          </w:p>
        </w:tc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Community risk/vulnerability assessment, gendered analysis and prioritisation. Transferable: helping climate-theme CSOs/CBOs use risk evidence in design and resource mobilisation [Programming (7), Risk (6), GESI (10), KM (9)].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4. Climate Adaptation, Livelihood and Resilience Assessment.pdf (17 pp.)</w:t>
            </w:r>
          </w:p>
        </w:tc>
        <w:tc>
          <w:tcPr>
            <w:tcW w:type="dxa" w:w="368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August 2026. 60 communities, 6 districts; 320 households and 60 key-informant interviews; mean Adaptation Capacity Index 38.5, Climate Resilience Score 42.1; 47 quantitative indicators. Role: MRTC Research and Tasking Solutions work sample (named in concluding section); assessment, investment-priority framework and monitoring framework.</w:t>
            </w:r>
          </w:p>
        </w:tc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Adaptation/livelihoods assessment and monitoring-framework design. Transferable: results frameworks, indicators and adaptation programming for CSOs [RBM (8), Programming (7), Risk (6), Resource Mobilisation (5)].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5. Company Profile – MRTC Research and Tasking Solutions (Word document submitted in Documents section)</w:t>
            </w:r>
          </w:p>
        </w:tc>
        <w:tc>
          <w:tcPr>
            <w:tcW w:type="dxa" w:w="3685"/>
            <w:tcMar>
              <w:top w:w="60" w:type="dxa"/>
              <w:left w:w="60" w:type="dxa"/>
              <w:bottom w:w="60" w:type="dxa"/>
              <w:right w:w="60" w:type="dxa"/>
            </w:tcMa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Institutional company profile: legal particulars, five service pillars, methods and 12-point quality assurance, ethics/safeguarding practice, data/financial governance, track-record snapshot, team and deployment model. The detailed Corporate Capability Profile (Edition 2026) is available on request.</w:t>
            </w:r>
          </w:p>
        </w:tc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Institutional systems and quality management underpinning consistent, auditable support to CSOs/CBOs.</w:t>
            </w:r>
          </w:p>
        </w:tc>
      </w:tr>
    </w:tbl>
    <w:p>
      <w:pPr>
        <w:widowControl/>
        <w:spacing w:after="40" w:before="0" w:line="240" w:lineRule="auto"/>
      </w:pP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2.  Selected assignment experience (including past three years)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Assignment / programme</w:t>
            </w:r>
          </w:p>
        </w:tc>
        <w:tc>
          <w:tcPr>
            <w:tcW w:type="dxa" w:w="3969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Context and contribution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Strengthening relevance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UNEP/EAD National Climate Risk, NAP finance and vulnerability work</w:t>
            </w:r>
          </w:p>
        </w:tc>
        <w:tc>
          <w:tcPr>
            <w:tcW w:type="dxa" w:w="396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Francis: FGDs/field collection, Blantyre focal point and NAP-financing workshop (via Oikologica/UNEP-EAD). Blessings: NAP economic appraisal/financing strategy and vulnerability assessments in 11 districts.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Evidence for design, adaptation finance and proposals (5, 7, 9).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USAID Limodzi endline via MRTC (IFC technical review)</w:t>
            </w:r>
          </w:p>
        </w:tc>
        <w:tc>
          <w:tcPr>
            <w:tcW w:type="dxa" w:w="396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Francis designed/led endline on HIV, maternal/child health and GBV using OECD-DAC/USAID standards (tools, multi-site QA, reporting).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Evaluation leadership and MERL strengthening (8).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ECHO/Self Help Africa, WFP/FISD and DAPP MEAL systems</w:t>
            </w:r>
          </w:p>
        </w:tc>
        <w:tc>
          <w:tcPr>
            <w:tcW w:type="dxa" w:w="396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Francis and Percival: MEAL frameworks/plans, ToC/logframes, databases/dashboards, DQA, market/PDM/baseline–endline work in employment/consultancy roles stated in CVs.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Practical MEAL-system building for implementers (7, 8, 9).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MRTC surveys, evaluations and training</w:t>
            </w:r>
          </w:p>
        </w:tc>
        <w:tc>
          <w:tcPr>
            <w:tcW w:type="dxa" w:w="396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Percival (MRTC): five surveys/three evaluations, 2,500+ beneficiaries, supervision of 12 field staff, workshops for 60+ staff/trainees in analysis/visualisation/reporting.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Direct training/mentoring model for CSO staff (7, 8, 9).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NGO coordination and CBO/community work</w:t>
            </w:r>
          </w:p>
        </w:tc>
        <w:tc>
          <w:tcPr>
            <w:tcW w:type="dxa" w:w="396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Blessings: coordination/guidance to 22 NGOs and CBO-partner capacity building; Richard: community entry/mobilisation and field supervision; community/camp-level fieldwork in Freddy/Jude responses.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Understanding of small-NGO/CBO constraints and community accountability (7, 10).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Research, market/policy and academic leadership</w:t>
            </w:r>
          </w:p>
        </w:tc>
        <w:tc>
          <w:tcPr>
            <w:tcW w:type="dxa" w:w="396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Dennis: value-chain/market-systems, regulatory/policy research, programme management and university research leadership/supervision.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Analytical rigour, report quality and evidence use (9, 5).</w:t>
            </w:r>
          </w:p>
        </w:tc>
      </w:tr>
    </w:tbl>
    <w:p>
      <w:pPr>
        <w:widowControl/>
        <w:spacing w:after="40" w:before="0" w:line="240" w:lineRule="auto"/>
      </w:pP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3.  How this evidence supports Tilitonse grant partners</w:t>
      </w:r>
    </w:p>
    <w:p>
      <w:pPr>
        <w:pStyle w:val="ListBullet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For CSOs needing MERL/RBM (Objective 4; Area 8):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MRTC can co-create lean results frameworks, indicators, tools and data-quality routines, then mentor staff to collect, analyse and report credibly without overburdening small teams.</w:t>
      </w:r>
    </w:p>
    <w:p>
      <w:pPr>
        <w:pStyle w:val="ListBullet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For effective programming (Area 7):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assessments and evaluations above show needs/risk analysis translated into priorities, workplans, monitoring frameworks and adaptive recommendations.</w:t>
      </w:r>
    </w:p>
    <w:p>
      <w:pPr>
        <w:pStyle w:val="ListBullet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For knowledge and accountability (Area 9):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clear, auditable reports/dashboards and documented lessons (including PDM accountability findings) help partners communicate results to communities, Tilitonse and other funders.</w:t>
      </w:r>
    </w:p>
    <w:p>
      <w:pPr>
        <w:pStyle w:val="ListBullet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For resource mobilisation (Area 5; Objective 2):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documented results, vulnerability/priority evidence and adaptation-finance experience strengthen concept notes/proposals and sustainability narratives.</w:t>
      </w:r>
    </w:p>
    <w:p>
      <w:pPr>
        <w:pStyle w:val="ListBullet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For inclusion and risk (Areas 10 and 6):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sex/vulnerability-disaggregated and disability-aware assessment, plus climate/disaster-risk analysis, supports responsive Gender Justice, ECD, Mental Health, Shelter and Climate programming.</w:t>
      </w: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4.  Quality, ethics and use of evidence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MRTC applies design/tool review, piloting, training/supervision, back-checks, validation/cleaning, independent technical review and client validation; informed consent, confidentiality, do-no-harm and inclusive practice; secure, purpose-specific data handling; and documented financial controls (budgeting, authorisation, documentation, reconciliation and reporting). Full reports are shared for capability assessment; underlying datasets and client-confidential material remain subject to owner permissions.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Contact for verification: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Francis Fweta, fwetafrancis@gmail.com, +265 993 888 578. Referees who can verify relevant work are listed in Document 05.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t xml:space="preserve">MRTC – Evidence of Previous Work Portfolio  |  Page </w:t>
    </w: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fldChar w:fldCharType="begin"/>
    </w: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instrText xml:space="preserve"> PAGE </w:instrText>
    </w: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before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 of Previous Work Portfolio – MRTC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