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COMPANY PROFILE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– Evidence | Insight | Capacity | Impact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Particular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Detail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Legal / trading name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Fweta trading as MRTC Research and Tasking Solutions (MRTC)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Legal form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Malawian local institution service provider (registered business name; multidisciplinary consultancy)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Business registration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Business Registration Act (No. 12 of 2012), Certificate No. BRN-PKSJDLR; registered 6 November 2024; valid to 6 November 2027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Tax registration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Malawi Revenue Authority TIN 71426102; Certificate No. MRA/TIN/BSTO/00417547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Head office / coverage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Blantyre, Malawi; Malawi-wide assignment coverage (Southern, Central and Northern Regions)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Contacts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mrtc-solutions@gmail.com | fwetafrancis@gmail.com | +265 885 675 877 / +265 993 888 578 | https://mrtc-solutions.netlify.app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  Who we are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 is a Malawian multidisciplinary consultancy specialising in research, monitoring, evaluation and learning (MEL/MEAL), data systems and analytics, and organisational capacity development. Established in 2019 and formally registered in 2024, MRTC supports donors, international and local NGOs, foundations, government programmes and community-based organisations to design credible programmes, measure results, learn and adapt. Our comparative strength is practical results-based management: lean, usable MEAL systems, rigorous evaluations and clear knowledge products that small-to-medium CSOs and CBOs can own and sustain.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Vision: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trusted evidence for stronger Malawian institutions and communities. 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Mission: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to deliver credible research and evaluation, robust data and hands-on capacity strengthening that improve programme quality, accountability and sustainability under Shift the Power principles – local ownership, inclusive participation and evidence use without consultant dependence.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2.  Services: five pillars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Pillar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What we deliver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1. Research and Assessments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Baseline/midline/endline studies; needs, situation, feasibility, KAP, market/value-chain, household/community/facility, humanitarian and climate-vulnerability assessments.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2. Monitoring, Evaluation and Learning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Theories of change, results/logical frameworks, indicators and MEAL plans; evaluations using OECD-DAC criteria and mixed methods; data-quality assurance; accountability/feedback; learning and adaptive-management reviews.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3. Data Collection and Field Research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Nationwide enumerator recruitment, training, deployment and supervision; surveys, KIIs, FGDs, IDIs and observations; community entry; digital collection (KoboToolbox, ODK, SurveyCTO) with back-checks and spot-checks.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4. Data Analytics and Visualisation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Data cleaning/validation; statistical/econometric and qualitative/thematic analysis; triangulation; dashboards, GIS/QGIS and reproducible reporting (SPSS, Stata, R, Python, Power BI).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5. Training and Capacity Development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Tailored training and mentoring in research methods, MEAL/RBM, digital tools, analysis, report/proposal writing and strategic planning for CSO/CBO staff and field teams.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3.  Expertise for local-organisation strengthening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Primary offer: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Results-based Management including MERL; Programming (design and implementation); Knowledge Management and Communication; Resource Mobilisation (evidence-based concept notes/proposals).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Cross-cutting: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Gender and Social Inclusion including disability inclusion; programme/climate Risk Management. Delivery follows five steps: joint organisational assessment, agreed action plan, tailored tools/training/mentoring, supported application, and review/knowledge transfer. MRTC does not offer statutory audit, legal compliance or safeguarding investigations as primary specialisms.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4.  Track-record snapshot (evidence reports available)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Assignment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Evidence of capability</w:t>
            </w:r>
          </w:p>
        </w:tc>
      </w:tr>
      <w:tr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ECHO Cyclone Jude PDM Round 2, CARE-led consortium (2025)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PDM design, Cochran sampling and analysis for 1,530 cash beneficiaries; authored by Francis Fweta (MRTC Consultant).</w:t>
            </w:r>
          </w:p>
        </w:tc>
      </w:tr>
      <w:tr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DAPP Malawi Cyclone Freddy Endline, Nsanje (2026)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OECD-DAC/ALNAP endline (1,300 households); MRTC credited for analysis, synthesis and report production.</w:t>
            </w:r>
          </w:p>
        </w:tc>
      </w:tr>
      <w:tr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Climate-risk, vulnerability and resilience assessments (2026)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Community assessments covering 450 households and 60 communities; vulnerability/resilience indices and monitoring frameworks.</w:t>
            </w:r>
          </w:p>
        </w:tc>
      </w:tr>
      <w:tr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MEAL systems, evaluations and training (team experience)</w:t>
            </w:r>
          </w:p>
        </w:tc>
        <w:tc>
          <w:tcPr>
            <w:tcW w:type="dxa" w:w="62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UNEP/EAD climate and NAP work; USAID-funded evaluation/MEAL; WFP resilience; digital MEAL/MIS and dashboards; workshops for 60+ staff and NGO coordination support.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5.  Team (TOR-matched deployment)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Specialist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Role and expertise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Fweta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Lead – Research, MEAL and Development Programmes (Lead Consultant). MEAL/impact evaluation, RBM, PDM and digital data systems.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Dr Dennis Chandiona, PhD (UCT, 2026)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Director – Research, Technical Strategy and Advanced Analytics. Research design, advanced analytics, market/policy research and quality assurance.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Percival Mwale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Senior Lead – Quantitative Research, Statistics and Economics. Surveys, evaluations, DQA and dashboards.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Malumbo Kumwenda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Lead – Health, Social Research and Capacity Development. Mixed-methods community research.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Richard Jingo + roster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Field Operations and Community Engagement; associates in DRM/climate (Blessings Mlowoka) and disability inclusion (Talumba Maliwa) engaged per assignment, subject to availability.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6.  Quality, ethics and financial governance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Quality: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nine-stage lifecycle and 12-point QA (design/tool review, piloting, training, supervision, verification, validation, peer review, client validation).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Ethics: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informed consent, confidentiality, do-no-harm, inclusive and gender-sensitive practice, protection of vulnerable participants and secure data handling. No unsupported third-party accreditations are claimed.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Finance: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assignment budgeting, authorisation, documentation, reconciliation and reporting with registered accounting support; MRA-registered (TIN 71426102) and withholding-tax compliant per contract.</w:t>
      </w:r>
    </w:p>
    <w:p>
      <w:pPr>
        <w:spacing w:after="80" w:before="12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Authorised contact: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Francis Fweta, Lead – Research, MEAL and Development Programmes, fwetafrancis@gmail.com, +265 993 888 578. Detailed CVs, portfolio and referees are provided in the supporting documents.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Company Profile – MRTC Research and Tasking Solutions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 – MRTC Research and Tasking Solutions</dc:title>
  <dc:subject/>
  <dc:creator>MRTC Research and Tasking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