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6"/>
        </w:rPr>
        <w:t>BICT 3202 — Examiner's Marking Guide</w:t>
      </w:r>
    </w:p>
    <w:p>
      <w:pPr>
        <w:keepLines/>
      </w:pPr>
      <w:r>
        <w:rPr>
          <w:b/>
        </w:rPr>
        <w:t>End-of-semester examination papers A and B</w:t>
      </w:r>
    </w:p>
    <w:p>
      <w:pPr>
        <w:keepLines/>
        <w:spacing w:after="160"/>
        <w:jc w:val="center"/>
      </w:pPr>
      <w:r>
        <w:rPr>
          <w:b/>
          <w:color w:val="59090C"/>
          <w:sz w:val="22"/>
        </w:rPr>
        <w:t>Confidential: examiner/lecturer use; do not issue with the candidate papers.</w:t>
      </w:r>
    </w:p>
    <w:p>
      <w:pPr>
        <w:pStyle w:val="Heading2"/>
      </w:pPr>
      <w:r>
        <w:t>Administrative assumptions to confirm before use</w:t>
      </w:r>
    </w:p>
    <w:p>
      <w:pPr>
        <w:keepLines/>
      </w:pPr>
      <w:r>
        <w:t xml:space="preserve">The course outline assigns </w:t>
      </w:r>
      <w:r>
        <w:rPr>
          <w:b/>
        </w:rPr>
        <w:t>60% to the examination</w:t>
      </w:r>
      <w:r>
        <w:t xml:space="preserve"> and </w:t>
      </w:r>
      <w:r>
        <w:rPr>
          <w:b/>
        </w:rPr>
        <w:t>40% to assessment</w:t>
      </w:r>
      <w:r>
        <w:t xml:space="preserve">, but does not prescribe an examination duration, paper structure or total raw marks. These two draft papers therefore use a proposed </w:t>
      </w:r>
      <w:r>
        <w:rPr>
          <w:b/>
        </w:rPr>
        <w:t>three-hour, 100-mark</w:t>
      </w:r>
      <w:r>
        <w:t xml:space="preserve"> format. Confirm the duration, permitted materials, academic-integrity wording, timetable and any Faculty examination rules before printing. The outline lists a 17-week module duration while the teaching files are organised as Weeks 1–16; confirm the approved teaching calendar, but retain the full stated course scope in the examination.</w:t>
      </w:r>
    </w:p>
    <w:p>
      <w:pPr>
        <w:keepLines/>
      </w:pPr>
      <w:r>
        <w:t xml:space="preserve">The candidate papers total </w:t>
      </w:r>
      <w:r>
        <w:rPr>
          <w:b/>
        </w:rPr>
        <w:t>100 raw marks</w:t>
      </w:r>
      <w:r>
        <w:t>. Apply the examination's 60% course weighting once, in the normal course-grade calculation; do not multiply the paper mark by 60% and then weight it a second time.</w:t>
      </w:r>
    </w:p>
    <w:p>
      <w:pPr>
        <w:pStyle w:val="Heading2"/>
      </w:pPr>
      <w:r>
        <w:t>General marking principles</w:t>
      </w:r>
    </w:p>
    <w:p>
      <w:pPr>
        <w:pStyle w:val="ListBullet"/>
        <w:spacing w:after="60"/>
      </w:pPr>
      <w:r>
        <w:t>Accept any technically sound, clearly labelled UML model that satisfies the scenario. Do not require one canonical class design when more than one design is valid.</w:t>
      </w:r>
    </w:p>
    <w:p>
      <w:pPr>
        <w:pStyle w:val="ListBullet"/>
        <w:spacing w:after="60"/>
      </w:pPr>
      <w:r>
        <w:t>Award marks for semantics and consistency, not artistic quality. A neat diagram with incorrect logic should not receive full credit.</w:t>
      </w:r>
    </w:p>
    <w:p>
      <w:pPr>
        <w:pStyle w:val="ListBullet"/>
        <w:spacing w:after="60"/>
      </w:pPr>
      <w:r>
        <w:t>Award partial credit for correct modelling elements even when the complete diagram is unfinished.</w:t>
      </w:r>
    </w:p>
    <w:p>
      <w:pPr>
        <w:pStyle w:val="ListBullet"/>
        <w:spacing w:after="60"/>
      </w:pPr>
      <w:r>
        <w:t>Accept justified assumptions if they do not contradict stated business rules. Where an assumption changes a rule, award no credit for the conflicting part.</w:t>
      </w:r>
    </w:p>
    <w:p>
      <w:pPr>
        <w:pStyle w:val="ListBullet"/>
        <w:spacing w:after="60"/>
      </w:pPr>
      <w:r>
        <w:t>Deduct only once for a repeated naming/notation error when it is clearly the same mistake; do not cascade penalties across every model view.</w:t>
      </w:r>
    </w:p>
    <w:p>
      <w:pPr>
        <w:pStyle w:val="ListBullet"/>
        <w:spacing w:after="60"/>
      </w:pPr>
      <w:r>
        <w:t>A &lt;&lt;include&gt;&gt; or &lt;&lt;extend&gt;&gt; relationship is not compulsory when no clear relationship is justified. Credit a candidate who correctly omits it and explains why.</w:t>
      </w:r>
    </w:p>
    <w:p>
      <w:pPr>
        <w:pStyle w:val="ListBullet"/>
        <w:spacing w:after="60"/>
      </w:pPr>
      <w:r>
        <w:t>For non-functional requirements, credit a measurable target or an operationally testable acceptance criterion. “The system must be fast/secure/easy to use” without a measure is not fully testable.</w:t>
      </w:r>
    </w:p>
    <w:p>
      <w:pPr>
        <w:pStyle w:val="Heading2"/>
      </w:pPr>
      <w:r>
        <w:t>Course-coverage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C9C9"/>
          <w:left w:val="single" w:sz="5" w:space="0" w:color="D8C9C9"/>
          <w:bottom w:val="single" w:sz="5" w:space="0" w:color="D8C9C9"/>
          <w:right w:val="single" w:sz="5" w:space="0" w:color="D8C9C9"/>
          <w:insideH w:val="single" w:sz="5" w:space="0" w:color="D8C9C9"/>
          <w:insideV w:val="single" w:sz="5" w:space="0" w:color="D8C9C9"/>
        </w:tblBorders>
      </w:tblPr>
      <w:tblGrid>
        <w:gridCol w:w="2125"/>
        <w:gridCol w:w="2415"/>
        <w:gridCol w:w="5120"/>
      </w:tblGrid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7B1113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Course coverage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7B1113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Paper A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7B1113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Paper B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Business needs, stakeholders, functional and non-functional needs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Q1(a–b)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Q1(a–b)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Object modelling, objects/classes, UML building blocks and notation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Q2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Q2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UML relationships, multiplicity, generalisation and inheritance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Q1(d), Q2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Q1(d), Q2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Events, states, operations, concurrency and behavioural views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Q1(e–f), Q3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Q1(e–f), Q3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Use cases, interactions and analysis documentation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Q1(c–e), Q3(c)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Q1(c–e), Q2(c), Q3(c)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Unified Process phases, iterations, workflows, risks and artefacts; reuse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Q4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Q4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Analysis-to-design refinement, cohesion/coupling, architecture and components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Q5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Q5</w:t>
            </w:r>
          </w:p>
        </w:tc>
      </w:tr>
      <w:tr>
        <w:tc>
          <w:tcPr>
            <w:tcW w:type="dxa" w:w="212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Model consistency, traceability and CASE-tool support</w:t>
            </w:r>
          </w:p>
        </w:tc>
        <w:tc>
          <w:tcPr>
            <w:tcW w:type="dxa" w:w="241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Q1(d–e), Q5(c)</w:t>
            </w:r>
          </w:p>
        </w:tc>
        <w:tc>
          <w:tcPr>
            <w:tcW w:type="dxa" w:w="5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3F0" w:val="clear"/>
          </w:tcPr>
          <w:p>
            <w:pPr>
              <w:spacing w:after="0" w:before="0"/>
            </w:pPr>
            <w:r>
              <w:rPr>
                <w:sz w:val="17"/>
              </w:rPr>
            </w:r>
            <w:r>
              <w:rPr>
                <w:sz w:val="17"/>
              </w:rPr>
              <w:t>Q1(d–e), Q5(c)</w:t>
            </w:r>
          </w:p>
        </w:tc>
      </w:tr>
    </w:tbl>
    <w:p>
      <w:pPr>
        <w:spacing w:after="20"/>
      </w:pPr>
    </w:p>
    <w:p>
      <w:pPr>
        <w:keepLines/>
      </w:pPr>
      <w:r>
        <w:t>These are public practice papers, not secure live examination papers. "Confidential" labels mean the examiner guide must be separated from student practice copies; they do not make this public repository private. A live examination requires new, unseen questions and controlled storage outside this repository.</w:t>
      </w:r>
    </w:p>
    <w:p>
      <w:pPr>
        <w:keepLines/>
      </w:pPr>
      <w:r>
        <w:t>The Section B choice is intentional. Q1 is compulsory so every candidate demonstrates integrated applied modelling; the other questions offer controlled choice across the syllabus.</w:t>
      </w:r>
    </w:p>
    <w:p>
      <w:pPr>
        <w:spacing w:before="60" w:after="160"/>
        <w:pBdr>
          <w:bottom w:val="single" w:sz="10" w:space="1" w:color="C9A227"/>
        </w:pBdr>
      </w:pPr>
    </w:p>
    <w:p>
      <w:pPr>
        <w:pStyle w:val="Heading1"/>
      </w:pPr>
      <w:r>
        <w:t>Paper A — marking points</w:t>
      </w:r>
    </w:p>
    <w:p>
      <w:pPr>
        <w:pStyle w:val="Heading2"/>
      </w:pPr>
      <w:r>
        <w:t>Question 1 — Community Clinic Appointment System (40 marks)</w:t>
      </w:r>
    </w:p>
    <w:p>
      <w:pPr>
        <w:keepNext/>
        <w:keepLines/>
      </w:pPr>
      <w:r>
        <w:rPr>
          <w:b/>
        </w:rPr>
        <w:t>(a) Business problem, need and success criteria [4]</w:t>
      </w:r>
    </w:p>
    <w:p>
      <w:pPr>
        <w:pStyle w:val="ListBullet"/>
        <w:spacing w:after="60"/>
      </w:pPr>
      <w:r>
        <w:t>1: identifies the current problem (paper/telephone scheduling, conflicts, manual follow-up or equivalent).</w:t>
      </w:r>
    </w:p>
    <w:p>
      <w:pPr>
        <w:pStyle w:val="ListBullet"/>
        <w:spacing w:after="60"/>
      </w:pPr>
      <w:r>
        <w:t>1: states a business need/improvement rather than jumping straight to a technology solution.</w:t>
      </w:r>
    </w:p>
    <w:p>
      <w:pPr>
        <w:pStyle w:val="ListBullet"/>
        <w:spacing w:after="60"/>
      </w:pPr>
      <w:r>
        <w:t>1 + 1: two measurable success criteria, for example reduced double-bookings, shorter booking time, fewer missed appointments or a defined availability/response target. Accept any realistic measure with a baseline/target or clear test.</w:t>
      </w:r>
    </w:p>
    <w:p>
      <w:pPr>
        <w:keepNext/>
        <w:keepLines/>
      </w:pPr>
      <w:r>
        <w:rPr>
          <w:b/>
        </w:rPr>
        <w:t>(b) Requirements [6]</w:t>
      </w:r>
    </w:p>
    <w:p>
      <w:pPr>
        <w:pStyle w:val="ListBullet"/>
        <w:spacing w:after="60"/>
      </w:pPr>
      <w:r>
        <w:t>1 each, up to 3: distinct, system-oriented functional requirements grounded in the case (request/cancel appointment, manage availability, record visit status, send reminder, enforce non-overlap, etc.).</w:t>
      </w:r>
    </w:p>
    <w:p>
      <w:pPr>
        <w:pStyle w:val="ListBullet"/>
        <w:spacing w:after="60"/>
      </w:pPr>
      <w:r>
        <w:t>1.5 each, up to 3: two relevant, measurable non-functional requirements (e.g. response time under a stated load; role-based access and an auditable access rule; availability target; notification delivery objective). Award partial credit for a relevant quality attribute without a measurable criterion.</w:t>
      </w:r>
    </w:p>
    <w:p>
      <w:pPr>
        <w:keepNext/>
        <w:keepLines/>
      </w:pPr>
      <w:r>
        <w:rPr>
          <w:b/>
        </w:rPr>
        <w:t>(c) Use-case diagram [6]</w:t>
      </w:r>
    </w:p>
    <w:p>
      <w:pPr>
        <w:pStyle w:val="ListBullet"/>
        <w:spacing w:after="60"/>
      </w:pPr>
      <w:r>
        <w:t>2: appropriate actors, including the external SMS Gateway and suitable human roles.</w:t>
      </w:r>
    </w:p>
    <w:p>
      <w:pPr>
        <w:pStyle w:val="ListBullet"/>
        <w:spacing w:after="60"/>
      </w:pPr>
      <w:r>
        <w:t>2: meaningful use cases covering the key appointment goals.</w:t>
      </w:r>
    </w:p>
    <w:p>
      <w:pPr>
        <w:pStyle w:val="ListBullet"/>
        <w:spacing w:after="60"/>
      </w:pPr>
      <w:r>
        <w:t>1: clear system boundary and valid actor/use-case associations.</w:t>
      </w:r>
    </w:p>
    <w:p>
      <w:pPr>
        <w:pStyle w:val="ListBullet"/>
        <w:spacing w:after="60"/>
      </w:pPr>
      <w:r>
        <w:t xml:space="preserve">1: justified </w:t>
      </w:r>
      <w:r>
        <w:rPr>
          <w:rFonts w:ascii="Consolas" w:hAnsi="Consolas" w:eastAsia="Consolas"/>
        </w:rPr>
        <w:t>&lt;&lt;include&gt;&gt;</w:t>
      </w:r>
      <w:r>
        <w:t>/</w:t>
      </w:r>
      <w:r>
        <w:rPr>
          <w:rFonts w:ascii="Consolas" w:hAnsi="Consolas" w:eastAsia="Consolas"/>
        </w:rPr>
        <w:t>&lt;&lt;extend&gt;&gt;</w:t>
      </w:r>
      <w:r>
        <w:t xml:space="preserve"> or correct omission of either where no relationship is warranted.</w:t>
      </w:r>
    </w:p>
    <w:p>
      <w:pPr>
        <w:keepNext/>
        <w:keepLines/>
      </w:pPr>
      <w:r>
        <w:rPr>
          <w:b/>
        </w:rPr>
        <w:t>(d) Class diagram [12]</w:t>
      </w:r>
    </w:p>
    <w:p>
      <w:pPr>
        <w:pStyle w:val="ListBullet"/>
        <w:spacing w:after="60"/>
      </w:pPr>
      <w:r>
        <w:t>4: relevant classes (e.g. Patient, Clinician, Appointment, AvailabilitySlot, and justified service/controller or notification class).</w:t>
      </w:r>
    </w:p>
    <w:p>
      <w:pPr>
        <w:pStyle w:val="ListBullet"/>
        <w:spacing w:after="60"/>
      </w:pPr>
      <w:r>
        <w:t>4: valid associations and multiplicities that reflect the scenario.</w:t>
      </w:r>
    </w:p>
    <w:p>
      <w:pPr>
        <w:pStyle w:val="ListBullet"/>
        <w:spacing w:after="60"/>
      </w:pPr>
      <w:r>
        <w:t>2: useful typed attributes and operations/responsibilities.</w:t>
      </w:r>
    </w:p>
    <w:p>
      <w:pPr>
        <w:pStyle w:val="ListBullet"/>
        <w:spacing w:after="60"/>
      </w:pPr>
      <w:r>
        <w:t>2: explicit non-overlap invariant for non-Cancelled appointments ([start, end) permits back-to-back bookings; cancellation frees the time but retains history) and consistency with the sequence/state views.</w:t>
      </w:r>
    </w:p>
    <w:p>
      <w:pPr>
        <w:keepNext/>
        <w:keepLines/>
      </w:pPr>
      <w:r>
        <w:rPr>
          <w:b/>
        </w:rPr>
        <w:t>(e) Sequence diagram [8]</w:t>
      </w:r>
    </w:p>
    <w:p>
      <w:pPr>
        <w:pStyle w:val="ListBullet"/>
        <w:spacing w:after="60"/>
      </w:pPr>
      <w:r>
        <w:t>1: suitable actor/object lifelines.</w:t>
      </w:r>
    </w:p>
    <w:p>
      <w:pPr>
        <w:pStyle w:val="ListBullet"/>
        <w:spacing w:after="60"/>
      </w:pPr>
      <w:r>
        <w:t>2: logically ordered request, validation and response messages.</w:t>
      </w:r>
    </w:p>
    <w:p>
      <w:pPr>
        <w:pStyle w:val="ListBullet"/>
        <w:spacing w:after="60"/>
      </w:pPr>
      <w:r>
        <w:t>2: availability/conflict checks and atomic reservation/persistence (accept a transaction note or combined fragment).</w:t>
      </w:r>
    </w:p>
    <w:p>
      <w:pPr>
        <w:pStyle w:val="ListBullet"/>
        <w:spacing w:after="60"/>
      </w:pPr>
      <w:r>
        <w:t>1: appointment is created and persisted only on success.</w:t>
      </w:r>
    </w:p>
    <w:p>
      <w:pPr>
        <w:pStyle w:val="ListBullet"/>
        <w:spacing w:after="60"/>
      </w:pPr>
      <w:r>
        <w:t>1: alternative rejection path (including the no-longer-available case).</w:t>
      </w:r>
    </w:p>
    <w:p>
      <w:pPr>
        <w:pStyle w:val="ListBullet"/>
        <w:spacing w:after="60"/>
      </w:pPr>
      <w:r>
        <w:t>1: confirmation notification is sent only after commit and is represented consistently with the design.</w:t>
      </w:r>
    </w:p>
    <w:p>
      <w:pPr>
        <w:keepNext/>
        <w:keepLines/>
      </w:pPr>
      <w:r>
        <w:rPr>
          <w:b/>
        </w:rPr>
        <w:t>(f) Appointment state machine [4]</w:t>
      </w:r>
    </w:p>
    <w:p>
      <w:pPr>
        <w:pStyle w:val="ListBullet"/>
        <w:spacing w:after="60"/>
      </w:pPr>
      <w:r>
        <w:t>1: correct initial node and sensible lifecycle states.</w:t>
      </w:r>
    </w:p>
    <w:p>
      <w:pPr>
        <w:pStyle w:val="ListBullet"/>
        <w:spacing w:after="60"/>
      </w:pPr>
      <w:r>
        <w:t>1: meaningful state transitions and event/trigger labels; check-in precedes consultation and completion. Accept a staff markNoShow event guarded by time &gt;= start and no arrival (late check-in is permitted only while still Confirmed), or an explicitly justified timed event consistent with authorised staff recording status.</w:t>
      </w:r>
    </w:p>
    <w:p>
      <w:pPr>
        <w:pStyle w:val="ListBullet"/>
        <w:spacing w:after="60"/>
      </w:pPr>
      <w:r>
        <w:t>1: patient cancellation from Confirmed correctly applies startTime − systemReceiptTime &gt;= 24 elapsed hours, including equality; later referral does not automatically cancel (receptionist can cancel Confirmed only before startTime).</w:t>
      </w:r>
    </w:p>
    <w:p>
      <w:pPr>
        <w:pStyle w:val="ListBullet"/>
        <w:spacing w:after="60"/>
      </w:pPr>
      <w:r>
        <w:t>1: completion/no-show/cancellation outcomes are distinct and consistent with the case. Atomic state changes reject stale events if check-in and No-show compete. A late-cancellation referral is a review request, not another appointment.</w:t>
      </w:r>
    </w:p>
    <w:p>
      <w:pPr>
        <w:pStyle w:val="Heading2"/>
      </w:pPr>
      <w:r>
        <w:t>Question 2 — Object modelling and UML foundations (20 marks)</w:t>
      </w:r>
    </w:p>
    <w:p>
      <w:pPr>
        <w:keepNext/>
        <w:keepLines/>
      </w:pPr>
      <w:r>
        <w:rPr>
          <w:b/>
        </w:rPr>
        <w:t>(a) Class/object and model/diagram [4]</w:t>
      </w:r>
      <w:r>
        <w:t xml:space="preserve"> — 2 marks per pair: 1 for the accurate distinction and 1 for a relevant example.</w:t>
      </w:r>
    </w:p>
    <w:p>
      <w:pPr>
        <w:keepNext/>
        <w:keepLines/>
      </w:pPr>
      <w:r>
        <w:rPr>
          <w:b/>
        </w:rPr>
        <w:t>(b) UML building blocks and well-formedness [4]</w:t>
      </w:r>
    </w:p>
    <w:p>
      <w:pPr>
        <w:pStyle w:val="ListBullet"/>
        <w:spacing w:after="60"/>
      </w:pPr>
      <w:r>
        <w:t>3: explains things, relationships and diagrams (1 each).</w:t>
      </w:r>
    </w:p>
    <w:p>
      <w:pPr>
        <w:pStyle w:val="ListBullet"/>
        <w:spacing w:after="60"/>
      </w:pPr>
      <w:r>
        <w:t>1: explains that a well-formedness rule constrains a model so its elements/relationships are meaningful or consistent, and gives one valid example/check.</w:t>
      </w:r>
    </w:p>
    <w:p>
      <w:pPr>
        <w:keepNext/>
        <w:keepLines/>
      </w:pPr>
      <w:r>
        <w:rPr>
          <w:b/>
        </w:rPr>
        <w:t>(c) Association, aggregation and composition [6]</w:t>
      </w:r>
      <w:r>
        <w:t xml:space="preserve"> — 2 marks per relationship: correct meaning and a justified example; for aggregation/composition, credit reasoning about independent existence, ownership or lifecycle.</w:t>
      </w:r>
    </w:p>
    <w:p>
      <w:pPr>
        <w:keepNext/>
        <w:keepLines/>
      </w:pPr>
      <w:r>
        <w:rPr>
          <w:b/>
        </w:rPr>
        <w:t>(d) UML metamodel levels and extensibility [4]</w:t>
      </w:r>
    </w:p>
    <w:p>
      <w:pPr>
        <w:pStyle w:val="ListBullet"/>
        <w:spacing w:after="60"/>
      </w:pPr>
      <w:r>
        <w:t>2: M0 runtime/real instances, M1 user model, M2 UML metamodel, M3 meta-metamodel (0.5 each).</w:t>
      </w:r>
    </w:p>
    <w:p>
      <w:pPr>
        <w:pStyle w:val="ListBullet"/>
        <w:spacing w:after="60"/>
      </w:pPr>
      <w:r>
        <w:t>1: correctly places the running appointment object at M0, the appointment-system model at M1 and the UML metamodel at M2.</w:t>
      </w:r>
    </w:p>
    <w:p>
      <w:pPr>
        <w:pStyle w:val="ListBullet"/>
        <w:spacing w:after="60"/>
      </w:pPr>
      <w:r>
        <w:t>1: names a valid extension mechanism (stereotype, tagged value or constraint) and states its purpose.</w:t>
      </w:r>
    </w:p>
    <w:p>
      <w:pPr>
        <w:keepNext/>
        <w:keepLines/>
      </w:pPr>
      <w:r>
        <w:rPr>
          <w:b/>
        </w:rPr>
        <w:t>(e) Abstraction and encapsulation [2]</w:t>
      </w:r>
      <w:r>
        <w:t xml:space="preserve"> — 1 mark per concept for an accurate definition and suitable short example.</w:t>
      </w:r>
    </w:p>
    <w:p>
      <w:pPr>
        <w:pStyle w:val="Heading2"/>
      </w:pPr>
      <w:r>
        <w:t>Question 3 — Dynamic and behavioural modelling (20 marks)</w:t>
      </w:r>
    </w:p>
    <w:p>
      <w:pPr>
        <w:keepNext/>
        <w:keepLines/>
      </w:pPr>
      <w:r>
        <w:rPr>
          <w:b/>
        </w:rPr>
        <w:t>(a) State, event and operation [4]</w:t>
      </w:r>
      <w:r>
        <w:t xml:space="preserve"> — 1 mark each for correct meaning; 1 mark for coherent examples/distinction.</w:t>
      </w:r>
    </w:p>
    <w:p>
      <w:pPr>
        <w:keepNext/>
        <w:keepLines/>
      </w:pPr>
      <w:r>
        <w:rPr>
          <w:b/>
        </w:rPr>
        <w:t>(b) Cancellation activity diagram [8]</w:t>
      </w:r>
    </w:p>
    <w:p>
      <w:pPr>
        <w:pStyle w:val="ListBullet"/>
        <w:spacing w:after="60"/>
      </w:pPr>
      <w:r>
        <w:t>1: initial/final semantics and activity scope are clear.</w:t>
      </w:r>
    </w:p>
    <w:p>
      <w:pPr>
        <w:pStyle w:val="ListBullet"/>
        <w:spacing w:after="60"/>
      </w:pPr>
      <w:r>
        <w:t>2: ordered actions identify the request and the confirmed appointment.</w:t>
      </w:r>
    </w:p>
    <w:p>
      <w:pPr>
        <w:pStyle w:val="ListBullet"/>
        <w:spacing w:after="60"/>
      </w:pPr>
      <w:r>
        <w:t>2: decision/guard correctly separates requests made at least 24 hours before the start from later requests.</w:t>
      </w:r>
    </w:p>
    <w:p>
      <w:pPr>
        <w:pStyle w:val="ListBullet"/>
        <w:spacing w:after="60"/>
      </w:pPr>
      <w:r>
        <w:t>1: eligible cancellation updates the appointment while retaining its history.</w:t>
      </w:r>
    </w:p>
    <w:p>
      <w:pPr>
        <w:pStyle w:val="ListBullet"/>
        <w:spacing w:after="60"/>
      </w:pPr>
      <w:r>
        <w:t>1: late request is referred to the receptionist rather than automatically cancelled.</w:t>
      </w:r>
    </w:p>
    <w:p>
      <w:pPr>
        <w:pStyle w:val="ListBullet"/>
        <w:spacing w:after="60"/>
      </w:pPr>
      <w:r>
        <w:t>1: control flow and alternative paths are readable and consistent.</w:t>
      </w:r>
    </w:p>
    <w:p>
      <w:pPr>
        <w:keepNext/>
        <w:keepLines/>
      </w:pPr>
      <w:r>
        <w:rPr>
          <w:b/>
        </w:rPr>
        <w:t>(c) Diagram comparisons [4]</w:t>
      </w:r>
    </w:p>
    <w:p>
      <w:pPr>
        <w:pStyle w:val="ListBullet"/>
        <w:spacing w:after="60"/>
      </w:pPr>
      <w:r>
        <w:t>1: sequence diagram's ordered messages/lifelines.</w:t>
      </w:r>
    </w:p>
    <w:p>
      <w:pPr>
        <w:pStyle w:val="ListBullet"/>
        <w:spacing w:after="60"/>
      </w:pPr>
      <w:r>
        <w:t>1: communication diagram's object links and numbered messages.</w:t>
      </w:r>
    </w:p>
    <w:p>
      <w:pPr>
        <w:pStyle w:val="ListBullet"/>
        <w:spacing w:after="60"/>
      </w:pPr>
      <w:r>
        <w:t>1: activity diagram's workflow/actions and control flow.</w:t>
      </w:r>
    </w:p>
    <w:p>
      <w:pPr>
        <w:pStyle w:val="ListBullet"/>
        <w:spacing w:after="60"/>
      </w:pPr>
      <w:r>
        <w:t>1: a suitable use/context for each distinction (credit coherent comparative prose).</w:t>
      </w:r>
    </w:p>
    <w:p>
      <w:pPr>
        <w:keepNext/>
        <w:keepLines/>
      </w:pPr>
      <w:r>
        <w:rPr>
          <w:b/>
        </w:rPr>
        <w:t>(d) Concurrency [4]</w:t>
      </w:r>
    </w:p>
    <w:p>
      <w:pPr>
        <w:pStyle w:val="ListBullet"/>
        <w:spacing w:after="60"/>
      </w:pPr>
      <w:r>
        <w:t>1: recognises competing requests for one remaining time slot.</w:t>
      </w:r>
    </w:p>
    <w:p>
      <w:pPr>
        <w:pStyle w:val="ListBullet"/>
        <w:spacing w:after="60"/>
      </w:pPr>
      <w:r>
        <w:t>1: uses an appropriate guard/condition.</w:t>
      </w:r>
    </w:p>
    <w:p>
      <w:pPr>
        <w:pStyle w:val="ListBullet"/>
        <w:spacing w:after="60"/>
      </w:pPr>
      <w:r>
        <w:t>1: proposes an atomic reservation/commit or equivalent concurrency-safe mechanism.</w:t>
      </w:r>
    </w:p>
    <w:p>
      <w:pPr>
        <w:pStyle w:val="ListBullet"/>
        <w:spacing w:after="60"/>
      </w:pPr>
      <w:r>
        <w:t>1: states the invariant: at most one active/confirmed appointment occupies a clinician's time slot (or equivalent non-overlap rule).</w:t>
      </w:r>
    </w:p>
    <w:p>
      <w:pPr>
        <w:pStyle w:val="Heading2"/>
      </w:pPr>
      <w:r>
        <w:t>Question 4 — Unified Software Development Process (20 marks)</w:t>
      </w:r>
    </w:p>
    <w:p>
      <w:pPr>
        <w:keepNext/>
        <w:keepLines/>
      </w:pPr>
      <w:r>
        <w:rPr>
          <w:b/>
        </w:rPr>
        <w:t>(a) Four phases [8]</w:t>
      </w:r>
      <w:r>
        <w:t xml:space="preserve"> — 2 marks per phase: accurate purpose plus a suitable decision/outcome (scope/business case; risk-resolved architectural foundation; implementation/integration/testing; deployment, acceptance and operational transition).</w:t>
      </w:r>
    </w:p>
    <w:p>
      <w:pPr>
        <w:keepNext/>
        <w:keepLines/>
      </w:pPr>
      <w:r>
        <w:rPr>
          <w:b/>
        </w:rPr>
        <w:t>(b) Iterative project plan [8]</w:t>
      </w:r>
    </w:p>
    <w:p>
      <w:pPr>
        <w:pStyle w:val="ListBullet"/>
        <w:spacing w:after="60"/>
      </w:pPr>
      <w:r>
        <w:t>3: coherent iterations/increments with feedback and a plausible release sequence.</w:t>
      </w:r>
    </w:p>
    <w:p>
      <w:pPr>
        <w:pStyle w:val="ListBullet"/>
        <w:spacing w:after="60"/>
      </w:pPr>
      <w:r>
        <w:t>2: two relevant workflows, such as requirements, analysis/design, implementation, test, deployment, configuration/change or project management.</w:t>
      </w:r>
    </w:p>
    <w:p>
      <w:pPr>
        <w:pStyle w:val="ListBullet"/>
        <w:spacing w:after="60"/>
      </w:pPr>
      <w:r>
        <w:t>1: identifies and prioritises a meaningful early risk (SMS integration, privacy/security, availability or scheduling concurrency).</w:t>
      </w:r>
    </w:p>
    <w:p>
      <w:pPr>
        <w:pStyle w:val="ListBullet"/>
        <w:spacing w:after="60"/>
      </w:pPr>
      <w:r>
        <w:t>2: two relevant artefacts/deliverables and how they help evaluation (e.g. use-case model, risk list, architecture prototype, executable increment, test results, deployment plan).</w:t>
      </w:r>
    </w:p>
    <w:p>
      <w:pPr>
        <w:keepNext/>
        <w:keepLines/>
      </w:pPr>
      <w:r>
        <w:rPr>
          <w:b/>
        </w:rPr>
        <w:t>(c) Reuse [4]</w:t>
      </w:r>
    </w:p>
    <w:p>
      <w:pPr>
        <w:pStyle w:val="ListBullet"/>
        <w:spacing w:after="60"/>
      </w:pPr>
      <w:r>
        <w:t>3: two suitability checks (1.5 each), with a valid check and a brief explanation of its relevance (e.g. security/privacy, compatibility, quality, licensing, support/maintainability or functional fit).</w:t>
      </w:r>
    </w:p>
    <w:p>
      <w:pPr>
        <w:pStyle w:val="ListBullet"/>
        <w:spacing w:after="60"/>
      </w:pPr>
      <w:r>
        <w:t>1: a plausible benefit (reduced duplication/effort, faster delivery or consistency).</w:t>
      </w:r>
    </w:p>
    <w:p>
      <w:pPr>
        <w:pStyle w:val="Heading2"/>
      </w:pPr>
      <w:r>
        <w:t>Question 5 — From analysis to design and architecture (20 marks)</w:t>
      </w:r>
    </w:p>
    <w:p>
      <w:pPr>
        <w:keepNext/>
        <w:keepLines/>
      </w:pPr>
      <w:r>
        <w:rPr>
          <w:b/>
        </w:rPr>
        <w:t>(a) Analysis, design and traceability [4]</w:t>
      </w:r>
    </w:p>
    <w:p>
      <w:pPr>
        <w:pStyle w:val="ListBullet"/>
        <w:spacing w:after="60"/>
      </w:pPr>
      <w:r>
        <w:t>2: distinguishes understanding the problem/required behaviour from structuring an implementable solution.</w:t>
      </w:r>
    </w:p>
    <w:p>
      <w:pPr>
        <w:pStyle w:val="ListBullet"/>
        <w:spacing w:after="60"/>
      </w:pPr>
      <w:r>
        <w:t>2: traces the requirement through a use case to a plausible design class and operation.</w:t>
      </w:r>
    </w:p>
    <w:p>
      <w:pPr>
        <w:keepNext/>
        <w:keepLines/>
      </w:pPr>
      <w:r>
        <w:rPr>
          <w:b/>
        </w:rPr>
        <w:t>(b) Responsibility and design quality [8]</w:t>
      </w:r>
    </w:p>
    <w:p>
      <w:pPr>
        <w:pStyle w:val="ListBullet"/>
        <w:spacing w:after="60"/>
      </w:pPr>
      <w:r>
        <w:t xml:space="preserve">1: identifies low cohesion/too many unrelated responsibilities in </w:t>
      </w:r>
      <w:r>
        <w:rPr>
          <w:rFonts w:ascii="Consolas" w:hAnsi="Consolas" w:eastAsia="Consolas"/>
        </w:rPr>
        <w:t>ClinicSystemManager</w:t>
      </w:r>
      <w:r>
        <w:t>.</w:t>
      </w:r>
    </w:p>
    <w:p>
      <w:pPr>
        <w:pStyle w:val="ListBullet"/>
        <w:spacing w:after="60"/>
      </w:pPr>
      <w:r>
        <w:t>1: identifies high coupling/direct UI-to-everything/database dependencies.</w:t>
      </w:r>
    </w:p>
    <w:p>
      <w:pPr>
        <w:pStyle w:val="ListBullet"/>
        <w:spacing w:after="60"/>
      </w:pPr>
      <w:r>
        <w:t>3: proposes a sensible responsibility split (e.g. boundary/controller, appointment service, appointment/domain model, repository, notification adapter) with correct ownership.</w:t>
      </w:r>
    </w:p>
    <w:p>
      <w:pPr>
        <w:pStyle w:val="ListBullet"/>
        <w:spacing w:after="60"/>
      </w:pPr>
      <w:r>
        <w:t>1: explains how the refactoring improves cohesion, coupling, testability or changeability.</w:t>
      </w:r>
    </w:p>
    <w:p>
      <w:pPr>
        <w:pStyle w:val="ListBullet"/>
        <w:spacing w:after="60"/>
      </w:pPr>
      <w:r>
        <w:t>2: discusses one relevant strength and one limitation/risk of the object-oriented approach in this case (1 each).</w:t>
      </w:r>
    </w:p>
    <w:p>
      <w:pPr>
        <w:keepNext/>
        <w:keepLines/>
      </w:pPr>
      <w:r>
        <w:rPr>
          <w:b/>
        </w:rPr>
        <w:t>(c) Architecture, components and CASE [8]</w:t>
      </w:r>
    </w:p>
    <w:p>
      <w:pPr>
        <w:pStyle w:val="ListBullet"/>
        <w:spacing w:after="60"/>
      </w:pPr>
      <w:r>
        <w:t>2: suitable layers and responsibilities (presentation, application/service, domain, persistence or an equivalent design).</w:t>
      </w:r>
    </w:p>
    <w:p>
      <w:pPr>
        <w:pStyle w:val="ListBullet"/>
        <w:spacing w:after="60"/>
      </w:pPr>
      <w:r>
        <w:t>2: meaningful component boundaries and valid dependency direction.</w:t>
      </w:r>
    </w:p>
    <w:p>
      <w:pPr>
        <w:pStyle w:val="ListBullet"/>
        <w:spacing w:after="60"/>
      </w:pPr>
      <w:r>
        <w:t>1: interfaces/ports isolate change-prone external services such as SMS or persistence.</w:t>
      </w:r>
    </w:p>
    <w:p>
      <w:pPr>
        <w:pStyle w:val="ListBullet"/>
        <w:spacing w:after="60"/>
      </w:pPr>
      <w:r>
        <w:t>1: explains adaptability/reuse without overclaiming.</w:t>
      </w:r>
    </w:p>
    <w:p>
      <w:pPr>
        <w:pStyle w:val="ListBullet"/>
        <w:spacing w:after="60"/>
      </w:pPr>
      <w:r>
        <w:t>2: two relevant CASE-tool capabilities (shared model/repository, diagram synchronisation, traceability, validation, documentation or change-impact support).</w:t>
      </w:r>
    </w:p>
    <w:p>
      <w:pPr>
        <w:spacing w:before="60" w:after="160"/>
        <w:pBdr>
          <w:bottom w:val="single" w:sz="10" w:space="1" w:color="C9A227"/>
        </w:pBdr>
      </w:pPr>
    </w:p>
    <w:p>
      <w:pPr>
        <w:pStyle w:val="Heading1"/>
      </w:pPr>
      <w:r>
        <w:t>Paper B — marking points</w:t>
      </w:r>
    </w:p>
    <w:p>
      <w:pPr>
        <w:pStyle w:val="Heading2"/>
      </w:pPr>
      <w:r>
        <w:t>Question 1 — Campus Equipment Lending System (40 marks)</w:t>
      </w:r>
    </w:p>
    <w:p>
      <w:pPr>
        <w:keepNext/>
        <w:keepLines/>
      </w:pPr>
      <w:r>
        <w:rPr>
          <w:b/>
        </w:rPr>
        <w:t>(a) Business problem, need and success criteria [4]</w:t>
      </w:r>
      <w:r>
        <w:t xml:space="preserve"> — use the same 1 + 1 + 1 + 1 rubric as Paper A, accepting relevant equipment-lending measures.</w:t>
      </w:r>
    </w:p>
    <w:p>
      <w:pPr>
        <w:keepNext/>
        <w:keepLines/>
      </w:pPr>
      <w:r>
        <w:rPr>
          <w:b/>
        </w:rPr>
        <w:t>(b) Requirements [6]</w:t>
      </w:r>
      <w:r>
        <w:t xml:space="preserve"> — use the same 3 + 3 rubric as Paper A; accept distinct lending functions and measurable quality criteria.</w:t>
      </w:r>
    </w:p>
    <w:p>
      <w:pPr>
        <w:keepNext/>
        <w:keepLines/>
      </w:pPr>
      <w:r>
        <w:rPr>
          <w:b/>
        </w:rPr>
        <w:t>(c) Use-case diagram [6]</w:t>
      </w:r>
      <w:r>
        <w:t xml:space="preserve"> — 2 for actors, 2 for use cases, 1 for boundary/associations, 1 for justified </w:t>
      </w:r>
      <w:r>
        <w:rPr>
          <w:rFonts w:ascii="Consolas" w:hAnsi="Consolas" w:eastAsia="Consolas"/>
        </w:rPr>
        <w:t>&lt;&lt;include&gt;&gt;</w:t>
      </w:r>
      <w:r>
        <w:t>/</w:t>
      </w:r>
      <w:r>
        <w:rPr>
          <w:rFonts w:ascii="Consolas" w:hAnsi="Consolas" w:eastAsia="Consolas"/>
        </w:rPr>
        <w:t>&lt;&lt;extend&gt;&gt;</w:t>
      </w:r>
      <w:r>
        <w:t xml:space="preserve"> or their correct omission.</w:t>
      </w:r>
    </w:p>
    <w:p>
      <w:pPr>
        <w:keepNext/>
        <w:keepLines/>
      </w:pPr>
      <w:r>
        <w:rPr>
          <w:b/>
        </w:rPr>
        <w:t>(d) Class diagram [12]</w:t>
      </w:r>
    </w:p>
    <w:p>
      <w:pPr>
        <w:pStyle w:val="ListBullet"/>
        <w:spacing w:after="60"/>
      </w:pPr>
      <w:r>
        <w:t>4: relevant classes (e.g. Member, CatalogueItem, Copy, Loan, Reservation and a justified service/controller).</w:t>
      </w:r>
    </w:p>
    <w:p>
      <w:pPr>
        <w:pStyle w:val="ListBullet"/>
        <w:spacing w:after="60"/>
      </w:pPr>
      <w:r>
        <w:t>4: valid relationships/multiplicities, including each Loan's one Member and one Copy; recognize that a Copy can have loan history but at most one active loan.</w:t>
      </w:r>
    </w:p>
    <w:p>
      <w:pPr>
        <w:pStyle w:val="ListBullet"/>
        <w:spacing w:after="60"/>
      </w:pPr>
      <w:r>
        <w:t>2: appropriate typed attributes and operations.</w:t>
      </w:r>
    </w:p>
    <w:p>
      <w:pPr>
        <w:pStyle w:val="ListBullet"/>
        <w:spacing w:after="60"/>
      </w:pPr>
      <w:r>
        <w:t>2: both one-active-loan-per-copy and two-active-loans-per-member constraints (1 each); consistent with the sequence/state views.</w:t>
      </w:r>
    </w:p>
    <w:p>
      <w:pPr>
        <w:keepNext/>
        <w:keepLines/>
      </w:pPr>
      <w:r>
        <w:rPr>
          <w:b/>
        </w:rPr>
        <w:t>(e) Sequence diagram [8]</w:t>
      </w:r>
    </w:p>
    <w:p>
      <w:pPr>
        <w:pStyle w:val="ListBullet"/>
        <w:spacing w:after="60"/>
      </w:pPr>
      <w:r>
        <w:t>1: suitable lifelines (including the Librarian/checkout interface, lending service/domain/repository, and external Email Service as appropriate).</w:t>
      </w:r>
    </w:p>
    <w:p>
      <w:pPr>
        <w:pStyle w:val="ListBullet"/>
        <w:spacing w:after="60"/>
      </w:pPr>
      <w:r>
        <w:t>2: logically ordered librarian approval/checkout request and validations.</w:t>
      </w:r>
    </w:p>
    <w:p>
      <w:pPr>
        <w:pStyle w:val="ListBullet"/>
        <w:spacing w:after="60"/>
      </w:pPr>
      <w:r>
        <w:t>2: active-member/loan-limit checks and copy-status/hold-owner checks and safe allocation/claim of an Available copy or the member's held copy in the same transaction as loan persistence; respect any waiting reservation and retain the hold for an ineligible first waiter while refusing checkout. Active loans include OnLoan and Overdue.</w:t>
      </w:r>
    </w:p>
    <w:p>
      <w:pPr>
        <w:pStyle w:val="ListBullet"/>
        <w:spacing w:after="60"/>
      </w:pPr>
      <w:r>
        <w:t>1: Loan creation and persistence occur only when permitted; failed checkout creates no Loan and leaves any pre-existing hold unchanged. Successful checkout fulfils that member's held Reservation but must not create a queue Reservation just to claim a copy.</w:t>
      </w:r>
    </w:p>
    <w:p>
      <w:pPr>
        <w:pStyle w:val="ListBullet"/>
        <w:spacing w:after="60"/>
      </w:pPr>
      <w:r>
        <w:t>1: alternative ineligible/no-copy path.</w:t>
      </w:r>
    </w:p>
    <w:p>
      <w:pPr>
        <w:pStyle w:val="ListBullet"/>
        <w:spacing w:after="60"/>
      </w:pPr>
      <w:r>
        <w:t>1: confirmation is sent through the external email service only after commit.</w:t>
      </w:r>
    </w:p>
    <w:p>
      <w:pPr>
        <w:keepNext/>
        <w:keepLines/>
      </w:pPr>
      <w:r>
        <w:rPr>
          <w:b/>
        </w:rPr>
        <w:t>(f) Loan state machine [4]</w:t>
      </w:r>
      <w:r>
        <w:t xml:space="preserve"> — 1 for an initial node and meaningful states including a coherent returned outcome; 1 for successful issue into OnLoan and return from either OnLoan or Overdue; 1 for the due-date transition to Overdue; 1 for the renewal guard (one renewal only, from OnLoan not Overdue, and no unfulfilled reservation including a held copy). Accept OnLoan, Overdue and Returned with a renewalCount == 0 guard on an OnLoan self-transition that sets renewalCount = 1 and extends due time atomically with the reservation check, or a distinct Renewed state. Do not force a redundant state merely to increase the count.</w:t>
      </w:r>
    </w:p>
    <w:p>
      <w:pPr>
        <w:pStyle w:val="Heading2"/>
      </w:pPr>
      <w:r>
        <w:t>Question 2 — Object modelling and object-oriented concepts (20 marks)</w:t>
      </w:r>
    </w:p>
    <w:p>
      <w:pPr>
        <w:keepNext/>
        <w:keepLines/>
      </w:pPr>
      <w:r>
        <w:rPr>
          <w:b/>
        </w:rPr>
        <w:t>(a) Encapsulation, abstraction and class/object [4]</w:t>
      </w:r>
      <w:r>
        <w:t xml:space="preserve"> — 1.5 for each OO principle (accurate definition plus suitable example), and 1 for the class/object distinction.</w:t>
      </w:r>
    </w:p>
    <w:p>
      <w:pPr>
        <w:keepNext/>
        <w:keepLines/>
      </w:pPr>
      <w:r>
        <w:rPr>
          <w:b/>
        </w:rPr>
        <w:t>(b) Generalisation, inheritance and polymorphism [6]</w:t>
      </w:r>
    </w:p>
    <w:p>
      <w:pPr>
        <w:pStyle w:val="ListBullet"/>
        <w:spacing w:after="60"/>
      </w:pPr>
      <w:r>
        <w:t>2: distinguishes UML generalisation from an implementation inheritance mechanism.</w:t>
      </w:r>
    </w:p>
    <w:p>
      <w:pPr>
        <w:pStyle w:val="ListBullet"/>
        <w:spacing w:after="60"/>
      </w:pPr>
      <w:r>
        <w:t>1: valid, justified class hierarchy with an explicit policy assumption that does not conflict with the case.</w:t>
      </w:r>
    </w:p>
    <w:p>
      <w:pPr>
        <w:pStyle w:val="ListBullet"/>
        <w:spacing w:after="60"/>
      </w:pPr>
      <w:r>
        <w:t>2: shows the same operation/interface producing suitable type-specific behaviour.</w:t>
      </w:r>
    </w:p>
    <w:p>
      <w:pPr>
        <w:pStyle w:val="ListBullet"/>
        <w:spacing w:after="60"/>
      </w:pPr>
      <w:r>
        <w:t>1: explains a benefit or limitation (e.g. substitutability/reuse, or why inheritance should not be forced).</w:t>
      </w:r>
    </w:p>
    <w:p>
      <w:pPr>
        <w:keepNext/>
        <w:keepLines/>
      </w:pPr>
      <w:r>
        <w:rPr>
          <w:b/>
        </w:rPr>
        <w:t xml:space="preserve">(c) </w:t>
      </w:r>
      <w:r>
        <w:rPr>
          <w:rFonts w:ascii="Consolas" w:hAnsi="Consolas" w:eastAsia="Consolas"/>
          <w:b/>
        </w:rPr>
        <w:t>&lt;&lt;include&gt;&gt;</w:t>
      </w:r>
      <w:r>
        <w:rPr>
          <w:b/>
        </w:rPr>
        <w:t xml:space="preserve"> and </w:t>
      </w:r>
      <w:r>
        <w:rPr>
          <w:rFonts w:ascii="Consolas" w:hAnsi="Consolas" w:eastAsia="Consolas"/>
          <w:b/>
        </w:rPr>
        <w:t>&lt;&lt;extend&gt;&gt;</w:t>
      </w:r>
      <w:r>
        <w:rPr>
          <w:b/>
        </w:rPr>
        <w:t xml:space="preserve"> [4]</w:t>
      </w:r>
    </w:p>
    <w:p>
      <w:pPr>
        <w:pStyle w:val="ListBullet"/>
        <w:spacing w:after="60"/>
      </w:pPr>
      <w:r>
        <w:t>2: correct required/reused versus conditional/optional behaviour distinction and relationship meaning/direction.</w:t>
      </w:r>
    </w:p>
    <w:p>
      <w:pPr>
        <w:pStyle w:val="ListBullet"/>
        <w:spacing w:after="60"/>
      </w:pPr>
      <w:r>
        <w:t>2: one valid example of each grounded in the lending system. Accept a well-justified alternative where the scenario genuinely supports it.</w:t>
      </w:r>
    </w:p>
    <w:p>
      <w:pPr>
        <w:keepNext/>
        <w:keepLines/>
      </w:pPr>
      <w:r>
        <w:rPr>
          <w:b/>
        </w:rPr>
        <w:t>(d) Association, aggregation and composition [6]</w:t>
      </w:r>
      <w:r>
        <w:t xml:space="preserve"> — 2 marks per relationship for correct meaning and a justified example/lifecycle assumption.</w:t>
      </w:r>
    </w:p>
    <w:p>
      <w:pPr>
        <w:pStyle w:val="Heading2"/>
      </w:pPr>
      <w:r>
        <w:t>Question 3 — Dynamic and behavioural modelling (20 marks)</w:t>
      </w:r>
    </w:p>
    <w:p>
      <w:pPr>
        <w:keepNext/>
        <w:keepLines/>
      </w:pPr>
      <w:r>
        <w:rPr>
          <w:b/>
        </w:rPr>
        <w:t>(a) State, event and operation [4]</w:t>
      </w:r>
      <w:r>
        <w:t xml:space="preserve"> — 1 mark each for correct meaning; 1 mark for coherent examples/distinction.</w:t>
      </w:r>
    </w:p>
    <w:p>
      <w:pPr>
        <w:keepNext/>
        <w:keepLines/>
      </w:pPr>
      <w:r>
        <w:rPr>
          <w:b/>
        </w:rPr>
        <w:t>(b) Copy state machine [8]</w:t>
      </w:r>
    </w:p>
    <w:p>
      <w:pPr>
        <w:pStyle w:val="ListBullet"/>
        <w:spacing w:after="60"/>
      </w:pPr>
      <w:r>
        <w:t>1: initial/terminal semantics.</w:t>
      </w:r>
    </w:p>
    <w:p>
      <w:pPr>
        <w:pStyle w:val="ListBullet"/>
        <w:spacing w:after="60"/>
      </w:pPr>
      <w:r>
        <w:t>2: suitable Copy states (e.g. Available, OnLoan, Maintenance, Retired, and Reserved for a waiting member); a returned or repaired copy must honour any waiting queue before becoming generally Available; cancellation advances to the next waiter or Available. No automatic expiry is specified; retirement requires no current loan or hold.</w:t>
      </w:r>
    </w:p>
    <w:p>
      <w:pPr>
        <w:pStyle w:val="ListBullet"/>
        <w:spacing w:after="60"/>
      </w:pPr>
      <w:r>
        <w:t>2: valid event-triggered transitions for issue, return, damage, repair and retirement.</w:t>
      </w:r>
    </w:p>
    <w:p>
      <w:pPr>
        <w:pStyle w:val="ListBullet"/>
        <w:spacing w:after="60"/>
      </w:pPr>
      <w:r>
        <w:t>1: an appropriate issue guard (e.g. active member, member below the loan limit, and the Copy is Available or held for that member).</w:t>
      </w:r>
    </w:p>
    <w:p>
      <w:pPr>
        <w:pStyle w:val="ListBullet"/>
        <w:spacing w:after="60"/>
      </w:pPr>
      <w:r>
        <w:t>1: distinguishes the Copy lifecycle from the Loan lifecycle; Overdue belongs to Loan, not Copy.</w:t>
      </w:r>
    </w:p>
    <w:p>
      <w:pPr>
        <w:pStyle w:val="ListBullet"/>
        <w:spacing w:after="60"/>
      </w:pPr>
      <w:r>
        <w:t>1: internally consistent, readable model.</w:t>
      </w:r>
    </w:p>
    <w:p>
      <w:pPr>
        <w:keepNext/>
        <w:keepLines/>
      </w:pPr>
      <w:r>
        <w:rPr>
          <w:b/>
        </w:rPr>
        <w:t>(c) Diagram comparisons [4]</w:t>
      </w:r>
      <w:r>
        <w:t xml:space="preserve"> — use the same 1 + 1 + 1 + 1 rubric as Paper A.</w:t>
      </w:r>
    </w:p>
    <w:p>
      <w:pPr>
        <w:keepNext/>
        <w:keepLines/>
      </w:pPr>
      <w:r>
        <w:rPr>
          <w:b/>
        </w:rPr>
        <w:t>(d) Concurrency [4]</w:t>
      </w:r>
    </w:p>
    <w:p>
      <w:pPr>
        <w:pStyle w:val="ListBullet"/>
        <w:spacing w:after="60"/>
      </w:pPr>
      <w:r>
        <w:t>1: recognises competing requests for one physical Copy.</w:t>
      </w:r>
    </w:p>
    <w:p>
      <w:pPr>
        <w:pStyle w:val="ListBullet"/>
        <w:spacing w:after="60"/>
      </w:pPr>
      <w:r>
        <w:t>1: uses an appropriate guard/availability check.</w:t>
      </w:r>
    </w:p>
    <w:p>
      <w:pPr>
        <w:pStyle w:val="ListBullet"/>
        <w:spacing w:after="60"/>
      </w:pPr>
      <w:r>
        <w:t>1: uses an atomic checkout/lock/transaction or equivalent safe commit.</w:t>
      </w:r>
    </w:p>
    <w:p>
      <w:pPr>
        <w:pStyle w:val="ListBullet"/>
        <w:spacing w:after="60"/>
      </w:pPr>
      <w:r>
        <w:t>1: states the invariant: a Copy has no more than one active Loan at any time.</w:t>
      </w:r>
    </w:p>
    <w:p>
      <w:pPr>
        <w:pStyle w:val="Heading2"/>
      </w:pPr>
      <w:r>
        <w:t>Question 4 — Unified Software Development Process (20 marks)</w:t>
      </w:r>
    </w:p>
    <w:p>
      <w:pPr>
        <w:keepLines/>
      </w:pPr>
      <w:r>
        <w:t>Use the same rubric as Paper A Question 4. Accept a phased pilot at one campus, an inventory-data quality risk, stakeholder testing and a staged transition/rollout as scenario-specific applications.</w:t>
      </w:r>
    </w:p>
    <w:p>
      <w:pPr>
        <w:pStyle w:val="Heading2"/>
      </w:pPr>
      <w:r>
        <w:t>Question 5 — From analysis to design and architecture (20 marks)</w:t>
      </w:r>
    </w:p>
    <w:p>
      <w:pPr>
        <w:keepNext/>
        <w:keepLines/>
      </w:pPr>
      <w:r>
        <w:rPr>
          <w:b/>
        </w:rPr>
        <w:t>(a) Analysis, design and traceability [4]</w:t>
      </w:r>
      <w:r>
        <w:t xml:space="preserve"> — use the same 2 + 2 rubric as Paper A, grounded in member borrowing an available copy.</w:t>
      </w:r>
    </w:p>
    <w:p>
      <w:pPr>
        <w:keepNext/>
        <w:keepLines/>
      </w:pPr>
      <w:r>
        <w:rPr>
          <w:b/>
        </w:rPr>
        <w:t>(b) Responsibility and design quality [8]</w:t>
      </w:r>
    </w:p>
    <w:p>
      <w:pPr>
        <w:pStyle w:val="ListBullet"/>
        <w:spacing w:after="60"/>
      </w:pPr>
      <w:r>
        <w:t xml:space="preserve">1: identifies low cohesion in </w:t>
      </w:r>
      <w:r>
        <w:rPr>
          <w:rFonts w:ascii="Consolas" w:hAnsi="Consolas" w:eastAsia="Consolas"/>
        </w:rPr>
        <w:t>ResourceCentreSystem</w:t>
      </w:r>
      <w:r>
        <w:t>.</w:t>
      </w:r>
    </w:p>
    <w:p>
      <w:pPr>
        <w:pStyle w:val="ListBullet"/>
        <w:spacing w:after="60"/>
      </w:pPr>
      <w:r>
        <w:t>1: identifies high coupling/direct UI-to-database access.</w:t>
      </w:r>
    </w:p>
    <w:p>
      <w:pPr>
        <w:pStyle w:val="ListBullet"/>
        <w:spacing w:after="60"/>
      </w:pPr>
      <w:r>
        <w:t>3: proposes sensible separation (e.g. catalogue/search service, LoanService, Loan/Copy/Member domain classes, repository, notification adapter).</w:t>
      </w:r>
    </w:p>
    <w:p>
      <w:pPr>
        <w:pStyle w:val="ListBullet"/>
        <w:spacing w:after="60"/>
      </w:pPr>
      <w:r>
        <w:t>1: links the redesign to maintainability, testing, security or changeability.</w:t>
      </w:r>
    </w:p>
    <w:p>
      <w:pPr>
        <w:pStyle w:val="ListBullet"/>
        <w:spacing w:after="60"/>
      </w:pPr>
      <w:r>
        <w:t>2: discusses one relevant strength and one limitation/risk of the object-oriented approach in this case (1 each).</w:t>
      </w:r>
    </w:p>
    <w:p>
      <w:pPr>
        <w:keepNext/>
        <w:keepLines/>
      </w:pPr>
      <w:r>
        <w:rPr>
          <w:b/>
        </w:rPr>
        <w:t>(c) Architecture, components and CASE [8]</w:t>
      </w:r>
      <w:r>
        <w:t xml:space="preserve"> — use the same 2 + 2 + 1 + 1 + 2 rubric as Paper A, grounded in catalogue, lending, member, persistence and notification responsibilities.</w:t>
      </w:r>
    </w:p>
    <w:p>
      <w:pPr>
        <w:spacing w:before="60" w:after="160"/>
        <w:pBdr>
          <w:bottom w:val="single" w:sz="10" w:space="1" w:color="C9A227"/>
        </w:pBdr>
      </w:pPr>
    </w:p>
    <w:p>
      <w:pPr>
        <w:pStyle w:val="Heading2"/>
      </w:pPr>
      <w:r>
        <w:t>Final moderation checklist</w:t>
      </w:r>
    </w:p>
    <w:p>
      <w:pPr>
        <w:keepLines/>
      </w:pPr>
      <w:r>
        <w:t>Before approval, verify that each paper has Q1 = 40 marks, three selected Section B questions = 60 marks, and a total of 100 marks; the chosen duration is approved; scenario facts are internally consistent; diagrams are legible in print; and the marking guide is stored separately from candidate copies.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BICT 3202 · Object-Oriented Analysis and Design  |  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B1113"/>
        <w:sz w:val="16"/>
      </w:rPr>
      <w:t>EXPLOITS UNIVERSITY  |  BICT 3202  |  CONFIDENTIAL · EXAMINER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B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7B11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B11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B11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Examiner Marking Guide</dc:title>
  <dc:subject>BICT 3202 end-of-semester examination material</dc:subject>
  <dc:creator>Exploits University — BICT 3202</dc:creator>
  <cp:keywords/>
  <dc:description>CONFIDENTIAL — examiner/lecturer use only; not for candidate distribution.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