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p>
    <w:p>
      <w:pPr>
        <w:spacing w:after="0" w:before="0" w:line="276" w:lineRule="auto"/>
      </w:pPr>
    </w:p>
    <w:p>
      <w:pPr>
        <w:jc w:val="center"/>
      </w:pPr>
      <w:r>
        <w:drawing>
          <wp:inline xmlns:a="http://schemas.openxmlformats.org/drawingml/2006/main" xmlns:pic="http://schemas.openxmlformats.org/drawingml/2006/picture">
            <wp:extent cx="1554480" cy="1554480"/>
            <wp:docPr id="1" name="Picture 1"/>
            <wp:cNvGraphicFramePr>
              <a:graphicFrameLocks noChangeAspect="1"/>
            </wp:cNvGraphicFramePr>
            <a:graphic>
              <a:graphicData uri="http://schemas.openxmlformats.org/drawingml/2006/picture">
                <pic:pic>
                  <pic:nvPicPr>
                    <pic:cNvPr id="0" name="eu_seal.png"/>
                    <pic:cNvPicPr/>
                  </pic:nvPicPr>
                  <pic:blipFill>
                    <a:blip r:embed="rId9"/>
                    <a:stretch>
                      <a:fillRect/>
                    </a:stretch>
                  </pic:blipFill>
                  <pic:spPr>
                    <a:xfrm>
                      <a:off x="0" y="0"/>
                      <a:ext cx="1554480" cy="1554480"/>
                    </a:xfrm>
                    <a:prstGeom prst="rect"/>
                  </pic:spPr>
                </pic:pic>
              </a:graphicData>
            </a:graphic>
          </wp:inline>
        </w:drawing>
      </w:r>
    </w:p>
    <w:p>
      <w:pPr>
        <w:spacing w:after="40" w:before="120" w:line="276" w:lineRule="auto"/>
        <w:jc w:val="center"/>
      </w:pPr>
      <w:r>
        <w:rPr>
          <w:rFonts w:ascii="Poppins" w:hAnsi="Poppins" w:eastAsia="Poppins"/>
          <w:b/>
          <w:i w:val="0"/>
          <w:color w:val="7B1113"/>
          <w:sz w:val="56"/>
        </w:rPr>
        <w:t>EXPLOITS UNIVERSITY</w:t>
      </w:r>
    </w:p>
    <w:p>
      <w:pPr>
        <w:spacing w:after="200" w:before="0" w:line="276" w:lineRule="auto"/>
        <w:jc w:val="center"/>
      </w:pPr>
      <w:r>
        <w:rPr>
          <w:rFonts w:ascii="Open Sans" w:hAnsi="Open Sans" w:eastAsia="Open Sans"/>
          <w:b/>
          <w:i w:val="0"/>
          <w:color w:val="A94442"/>
          <w:sz w:val="26"/>
        </w:rPr>
        <w:t>BSc INFORMATION COMMUNICATION AND TECHNOLOGY</w:t>
      </w:r>
    </w:p>
    <w:p>
      <w:pPr>
        <w:spacing w:after="200"/>
        <w:pBdr>
          <w:bottom w:val="single" w:sz="18" w:space="1" w:color="C9A227"/>
        </w:pBdr>
      </w:pPr>
    </w:p>
    <w:p>
      <w:pPr>
        <w:spacing w:after="360" w:before="0" w:line="276" w:lineRule="auto"/>
        <w:jc w:val="center"/>
      </w:pPr>
      <w:r>
        <w:rPr>
          <w:rFonts w:ascii="Open Sans" w:hAnsi="Open Sans" w:eastAsia="Open Sans"/>
          <w:b/>
          <w:i w:val="0"/>
          <w:color w:val="59090C"/>
          <w:sz w:val="28"/>
        </w:rPr>
        <w:t>BICT 3202 · OBJECT-ORIENTED ANALYSIS AND DESIGN</w:t>
      </w:r>
    </w:p>
    <w:p>
      <w:pPr>
        <w:spacing w:after="120" w:before="0" w:line="276" w:lineRule="auto"/>
        <w:jc w:val="center"/>
      </w:pPr>
      <w:r>
        <w:rPr>
          <w:rFonts w:ascii="Poppins" w:hAnsi="Poppins" w:eastAsia="Poppins"/>
          <w:b/>
          <w:i w:val="0"/>
          <w:color w:val="7B1113"/>
          <w:sz w:val="60"/>
        </w:rPr>
        <w:t>WEEK 15 ASSIGNMENT</w:t>
      </w:r>
    </w:p>
    <w:p>
      <w:pPr>
        <w:spacing w:after="440" w:before="0" w:line="276" w:lineRule="auto"/>
        <w:jc w:val="center"/>
      </w:pPr>
      <w:r>
        <w:rPr>
          <w:rFonts w:ascii="Open Sans" w:hAnsi="Open Sans" w:eastAsia="Open Sans"/>
          <w:b w:val="0"/>
          <w:i/>
          <w:color w:val="2B2626"/>
          <w:sz w:val="28"/>
        </w:rPr>
        <w:t>Complete OOAD Case Study, Model Integration and CASE Tool Implementation</w:t>
      </w:r>
    </w:p>
    <w:tbl>
      <w:tblPr>
        <w:tblStyle w:val="TableGrid"/>
        <w:tblW w:type="auto" w:w="0"/>
        <w:jc w:val="center"/>
        <w:tblLook w:firstColumn="1" w:firstRow="1" w:lastColumn="0" w:lastRow="0" w:noHBand="0" w:noVBand="1" w:val="04A0"/>
      </w:tblPr>
      <w:tblGrid>
        <w:gridCol w:w="4706"/>
        <w:gridCol w:w="4706"/>
      </w:tblGrid>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Student Name</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Student ID</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Programme / Year</w:t>
            </w:r>
          </w:p>
        </w:tc>
        <w:tc>
          <w:tcPr>
            <w:tcW w:type="dxa" w:w="5616"/>
            <w:tcMar>
              <w:top w:w="80" w:type="dxa"/>
              <w:bottom w:w="80" w:type="dxa"/>
              <w:left w:w="120" w:type="dxa"/>
              <w:right w:w="120" w:type="dxa"/>
            </w:tcMar>
          </w:tcPr>
          <w:p>
            <w:r>
              <w:rPr>
                <w:rFonts w:ascii="Open Sans" w:hAnsi="Open Sans" w:eastAsia="Open Sans"/>
                <w:b w:val="0"/>
                <w:i w:val="0"/>
                <w:color w:val="2B2626"/>
                <w:sz w:val="22"/>
              </w:rPr>
              <w:t>BSc ICT · Year 3</w:t>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Course / Week</w:t>
            </w:r>
          </w:p>
        </w:tc>
        <w:tc>
          <w:tcPr>
            <w:tcW w:type="dxa" w:w="5616"/>
            <w:tcMar>
              <w:top w:w="80" w:type="dxa"/>
              <w:bottom w:w="80" w:type="dxa"/>
              <w:left w:w="120" w:type="dxa"/>
              <w:right w:w="120" w:type="dxa"/>
            </w:tcMar>
          </w:tcPr>
          <w:p>
            <w:r>
              <w:rPr>
                <w:rFonts w:ascii="Open Sans" w:hAnsi="Open Sans" w:eastAsia="Open Sans"/>
                <w:b w:val="0"/>
                <w:i w:val="0"/>
                <w:color w:val="2B2626"/>
                <w:sz w:val="22"/>
              </w:rPr>
              <w:t>BICT 3202 · Week 15 of 16</w:t>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Date Submitted</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bl>
    <w:p>
      <w:pPr>
        <w:spacing w:after="120" w:before="0" w:line="276" w:lineRule="auto"/>
      </w:pPr>
    </w:p>
    <w:p>
      <w:pPr>
        <w:spacing w:after="0" w:before="0" w:line="276" w:lineRule="auto"/>
        <w:jc w:val="center"/>
      </w:pPr>
      <w:r>
        <w:rPr>
          <w:rFonts w:ascii="Open Sans" w:hAnsi="Open Sans" w:eastAsia="Open Sans"/>
          <w:b/>
          <w:i w:val="0"/>
          <w:color w:val="59090C"/>
          <w:sz w:val="24"/>
        </w:rPr>
        <w:t>Instructor: Francis Fweta — ICT Lecturer</w:t>
      </w:r>
    </w:p>
    <w:p>
      <w:pPr>
        <w:spacing w:after="120" w:before="0" w:line="276" w:lineRule="auto"/>
        <w:jc w:val="center"/>
      </w:pPr>
      <w:r>
        <w:rPr>
          <w:rFonts w:ascii="Open Sans" w:hAnsi="Open Sans" w:eastAsia="Open Sans"/>
          <w:b w:val="0"/>
          <w:i/>
          <w:color w:val="6B6B6B"/>
          <w:sz w:val="22"/>
        </w:rPr>
        <w:t>Exploits University · Week 15 of 16</w:t>
      </w:r>
    </w:p>
    <w:p>
      <w:r>
        <w:br w:type="page"/>
      </w:r>
    </w:p>
    <w:p>
      <w:pPr>
        <w:keepNext/>
        <w:spacing w:before="280" w:after="120"/>
        <w:pBdr>
          <w:bottom w:val="single" w:sz="12" w:space="3" w:color="C9A227"/>
        </w:pBdr>
      </w:pPr>
      <w:r>
        <w:rPr>
          <w:rFonts w:ascii="Poppins" w:hAnsi="Poppins" w:eastAsia="Poppins"/>
          <w:b/>
          <w:i w:val="0"/>
          <w:color w:val="7B1113"/>
          <w:sz w:val="30"/>
        </w:rPr>
        <w:t>Assignment Instructions</w:t>
      </w:r>
    </w:p>
    <w:p>
      <w:pPr>
        <w:pStyle w:val="ListBullet"/>
        <w:spacing w:after="80"/>
      </w:pPr>
      <w:r>
        <w:rPr>
          <w:rFonts w:ascii="Open Sans" w:hAnsi="Open Sans" w:eastAsia="Open Sans"/>
          <w:b w:val="0"/>
          <w:i w:val="0"/>
          <w:color w:val="2B2626"/>
          <w:sz w:val="22"/>
        </w:rPr>
        <w:t>Answer ALL questions in Sections A, B and C.</w:t>
      </w:r>
    </w:p>
    <w:p>
      <w:pPr>
        <w:pStyle w:val="ListBullet"/>
        <w:spacing w:after="80"/>
      </w:pPr>
      <w:r>
        <w:rPr>
          <w:rFonts w:ascii="Open Sans" w:hAnsi="Open Sans" w:eastAsia="Open Sans"/>
          <w:b w:val="0"/>
          <w:i w:val="0"/>
          <w:color w:val="2B2626"/>
          <w:sz w:val="22"/>
        </w:rPr>
        <w:t>Read the Week 15 module and your lecture notes before attempting each question.</w:t>
      </w:r>
    </w:p>
    <w:p>
      <w:pPr>
        <w:pStyle w:val="ListBullet"/>
        <w:spacing w:after="80"/>
      </w:pPr>
      <w:r>
        <w:rPr>
          <w:rFonts w:ascii="Open Sans" w:hAnsi="Open Sans" w:eastAsia="Open Sans"/>
          <w:b w:val="0"/>
          <w:i w:val="0"/>
          <w:color w:val="2B2626"/>
          <w:sz w:val="22"/>
        </w:rPr>
        <w:t>Use the university course registration case study where stated.</w:t>
      </w:r>
    </w:p>
    <w:p>
      <w:pPr>
        <w:pStyle w:val="ListBullet"/>
        <w:spacing w:after="80"/>
      </w:pPr>
      <w:r>
        <w:rPr>
          <w:rFonts w:ascii="Open Sans" w:hAnsi="Open Sans" w:eastAsia="Open Sans"/>
          <w:b w:val="0"/>
          <w:i w:val="0"/>
          <w:color w:val="2B2626"/>
          <w:sz w:val="22"/>
        </w:rPr>
        <w:t>Show that your models are consistent: sequence messages must match class operations.</w:t>
      </w:r>
    </w:p>
    <w:p>
      <w:pPr>
        <w:pStyle w:val="ListBullet"/>
        <w:spacing w:after="80"/>
      </w:pPr>
      <w:r>
        <w:rPr>
          <w:rFonts w:ascii="Open Sans" w:hAnsi="Open Sans" w:eastAsia="Open Sans"/>
          <w:b w:val="0"/>
          <w:i w:val="0"/>
          <w:color w:val="2B2626"/>
          <w:sz w:val="22"/>
        </w:rPr>
        <w:t>Draw UML diagrams in correct notation, or with a CASE/UML tool.</w:t>
      </w:r>
    </w:p>
    <w:p>
      <w:pPr>
        <w:pStyle w:val="ListBullet"/>
        <w:spacing w:after="80"/>
      </w:pPr>
      <w:r>
        <w:rPr>
          <w:rFonts w:ascii="Open Sans" w:hAnsi="Open Sans" w:eastAsia="Open Sans"/>
          <w:b w:val="0"/>
          <w:i w:val="0"/>
          <w:color w:val="2B2626"/>
          <w:sz w:val="22"/>
        </w:rPr>
        <w:t>Submit by the date given by your lecturer. Total: 50 marks.</w:t>
      </w:r>
    </w:p>
    <w:p>
      <w:pPr>
        <w:keepNext/>
        <w:spacing w:before="280" w:after="120"/>
        <w:pBdr>
          <w:bottom w:val="single" w:sz="12" w:space="3" w:color="C9A227"/>
        </w:pBdr>
      </w:pPr>
      <w:r>
        <w:rPr>
          <w:rFonts w:ascii="Poppins" w:hAnsi="Poppins" w:eastAsia="Poppins"/>
          <w:b/>
          <w:i w:val="0"/>
          <w:color w:val="7B1113"/>
          <w:sz w:val="30"/>
        </w:rPr>
        <w:t>Section A — Short-Answer Questions (20 marks)</w:t>
      </w:r>
    </w:p>
    <w:p>
      <w:pPr>
        <w:keepNext/>
        <w:spacing w:before="280" w:after="120"/>
      </w:pPr>
      <w:r>
        <w:rPr>
          <w:rFonts w:ascii="Poppins" w:hAnsi="Poppins" w:eastAsia="Poppins"/>
          <w:b/>
          <w:i w:val="0"/>
          <w:color w:val="7B1113"/>
          <w:sz w:val="25"/>
        </w:rPr>
        <w:t>Question A1</w:t>
      </w:r>
    </w:p>
    <w:p>
      <w:pPr>
        <w:spacing w:after="120" w:before="0" w:line="276" w:lineRule="auto"/>
      </w:pPr>
      <w:r>
        <w:rPr>
          <w:rFonts w:ascii="Open Sans" w:hAnsi="Open Sans" w:eastAsia="Open Sans"/>
          <w:b w:val="0"/>
          <w:i w:val="0"/>
          <w:color w:val="2B2626"/>
          <w:sz w:val="22"/>
        </w:rPr>
        <w:t>Define a CASE tool and state three ways it supports software development. [3 marks]</w:t>
      </w:r>
    </w:p>
    <w:p>
      <w:pPr>
        <w:keepNext/>
        <w:spacing w:before="280" w:after="120"/>
      </w:pPr>
      <w:r>
        <w:rPr>
          <w:rFonts w:ascii="Poppins" w:hAnsi="Poppins" w:eastAsia="Poppins"/>
          <w:b/>
          <w:i w:val="0"/>
          <w:color w:val="7B1113"/>
          <w:sz w:val="25"/>
        </w:rPr>
        <w:t>Question A2</w:t>
      </w:r>
    </w:p>
    <w:p>
      <w:pPr>
        <w:spacing w:after="120" w:before="0" w:line="276" w:lineRule="auto"/>
      </w:pPr>
      <w:r>
        <w:rPr>
          <w:rFonts w:ascii="Open Sans" w:hAnsi="Open Sans" w:eastAsia="Open Sans"/>
          <w:b w:val="0"/>
          <w:i w:val="0"/>
          <w:color w:val="2B2626"/>
          <w:sz w:val="22"/>
        </w:rPr>
        <w:t>Differentiate functional from non-functional requirements, with one example each. [3 marks]</w:t>
      </w:r>
    </w:p>
    <w:p>
      <w:pPr>
        <w:keepNext/>
        <w:spacing w:before="280" w:after="120"/>
      </w:pPr>
      <w:r>
        <w:rPr>
          <w:rFonts w:ascii="Poppins" w:hAnsi="Poppins" w:eastAsia="Poppins"/>
          <w:b/>
          <w:i w:val="0"/>
          <w:color w:val="7B1113"/>
          <w:sz w:val="25"/>
        </w:rPr>
        <w:t>Question A3</w:t>
      </w:r>
    </w:p>
    <w:p>
      <w:pPr>
        <w:spacing w:after="120" w:before="0" w:line="276" w:lineRule="auto"/>
      </w:pPr>
      <w:r>
        <w:rPr>
          <w:rFonts w:ascii="Open Sans" w:hAnsi="Open Sans" w:eastAsia="Open Sans"/>
          <w:b w:val="0"/>
          <w:i w:val="0"/>
          <w:color w:val="2B2626"/>
          <w:sz w:val="22"/>
        </w:rPr>
        <w:t>Define an actor and explain why an actor need not be a human being. [2 marks]</w:t>
      </w:r>
    </w:p>
    <w:p>
      <w:pPr>
        <w:keepNext/>
        <w:spacing w:before="280" w:after="120"/>
      </w:pPr>
      <w:r>
        <w:rPr>
          <w:rFonts w:ascii="Poppins" w:hAnsi="Poppins" w:eastAsia="Poppins"/>
          <w:b/>
          <w:i w:val="0"/>
          <w:color w:val="7B1113"/>
          <w:sz w:val="25"/>
        </w:rPr>
        <w:t>Question A4</w:t>
      </w:r>
    </w:p>
    <w:p>
      <w:pPr>
        <w:spacing w:after="120" w:before="0" w:line="276" w:lineRule="auto"/>
      </w:pPr>
      <w:r>
        <w:rPr>
          <w:rFonts w:ascii="Open Sans" w:hAnsi="Open Sans" w:eastAsia="Open Sans"/>
          <w:b w:val="0"/>
          <w:i w:val="0"/>
          <w:color w:val="2B2626"/>
          <w:sz w:val="22"/>
        </w:rPr>
        <w:t>Differentiate a domain class from a technical/application class. [3 marks]</w:t>
      </w:r>
    </w:p>
    <w:p>
      <w:pPr>
        <w:keepNext/>
        <w:spacing w:before="280" w:after="120"/>
      </w:pPr>
      <w:r>
        <w:rPr>
          <w:rFonts w:ascii="Poppins" w:hAnsi="Poppins" w:eastAsia="Poppins"/>
          <w:b/>
          <w:i w:val="0"/>
          <w:color w:val="7B1113"/>
          <w:sz w:val="25"/>
        </w:rPr>
        <w:t>Question A5</w:t>
      </w:r>
    </w:p>
    <w:p>
      <w:pPr>
        <w:spacing w:after="120" w:before="0" w:line="276" w:lineRule="auto"/>
      </w:pPr>
      <w:r>
        <w:rPr>
          <w:rFonts w:ascii="Open Sans" w:hAnsi="Open Sans" w:eastAsia="Open Sans"/>
          <w:b w:val="0"/>
          <w:i w:val="0"/>
          <w:color w:val="2B2626"/>
          <w:sz w:val="22"/>
        </w:rPr>
        <w:t>State the multiplicity meaning of Student 1 — 0..* Registration. [2 marks]</w:t>
      </w:r>
    </w:p>
    <w:p>
      <w:pPr>
        <w:keepNext/>
        <w:spacing w:before="280" w:after="120"/>
      </w:pPr>
      <w:r>
        <w:rPr>
          <w:rFonts w:ascii="Poppins" w:hAnsi="Poppins" w:eastAsia="Poppins"/>
          <w:b/>
          <w:i w:val="0"/>
          <w:color w:val="7B1113"/>
          <w:sz w:val="25"/>
        </w:rPr>
        <w:t>Question A6</w:t>
      </w:r>
    </w:p>
    <w:p>
      <w:pPr>
        <w:spacing w:after="120" w:before="0" w:line="276" w:lineRule="auto"/>
      </w:pPr>
      <w:r>
        <w:rPr>
          <w:rFonts w:ascii="Open Sans" w:hAnsi="Open Sans" w:eastAsia="Open Sans"/>
          <w:b w:val="0"/>
          <w:i w:val="0"/>
          <w:color w:val="2B2626"/>
          <w:sz w:val="22"/>
        </w:rPr>
        <w:t>Why should UML diagrams not be developed independently? [3 marks]</w:t>
      </w:r>
    </w:p>
    <w:p>
      <w:pPr>
        <w:keepNext/>
        <w:spacing w:before="280" w:after="120"/>
      </w:pPr>
      <w:r>
        <w:rPr>
          <w:rFonts w:ascii="Poppins" w:hAnsi="Poppins" w:eastAsia="Poppins"/>
          <w:b/>
          <w:i w:val="0"/>
          <w:color w:val="7B1113"/>
          <w:sz w:val="25"/>
        </w:rPr>
        <w:t>Question A7</w:t>
      </w:r>
    </w:p>
    <w:p>
      <w:pPr>
        <w:spacing w:after="120" w:before="0" w:line="276" w:lineRule="auto"/>
      </w:pPr>
      <w:r>
        <w:rPr>
          <w:rFonts w:ascii="Open Sans" w:hAnsi="Open Sans" w:eastAsia="Open Sans"/>
          <w:b w:val="0"/>
          <w:i w:val="0"/>
          <w:color w:val="2B2626"/>
          <w:sz w:val="22"/>
        </w:rPr>
        <w:t>Explain model traceability using the Register Course requirement. [2 marks]</w:t>
      </w:r>
    </w:p>
    <w:p>
      <w:pPr>
        <w:keepNext/>
        <w:spacing w:before="280" w:after="120"/>
      </w:pPr>
      <w:r>
        <w:rPr>
          <w:rFonts w:ascii="Poppins" w:hAnsi="Poppins" w:eastAsia="Poppins"/>
          <w:b/>
          <w:i w:val="0"/>
          <w:color w:val="7B1113"/>
          <w:sz w:val="25"/>
        </w:rPr>
        <w:t>Question A8</w:t>
      </w:r>
    </w:p>
    <w:p>
      <w:pPr>
        <w:spacing w:after="120" w:before="0" w:line="276" w:lineRule="auto"/>
      </w:pPr>
      <w:r>
        <w:rPr>
          <w:rFonts w:ascii="Open Sans" w:hAnsi="Open Sans" w:eastAsia="Open Sans"/>
          <w:b w:val="0"/>
          <w:i w:val="0"/>
          <w:color w:val="2B2626"/>
          <w:sz w:val="22"/>
        </w:rPr>
        <w:t>List the six consistency checks of a model audit. [2 marks]</w:t>
      </w:r>
    </w:p>
    <w:p>
      <w:pPr>
        <w:keepNext/>
        <w:spacing w:before="280" w:after="120"/>
        <w:pBdr>
          <w:bottom w:val="single" w:sz="12" w:space="3" w:color="C9A227"/>
        </w:pBdr>
      </w:pPr>
      <w:r>
        <w:rPr>
          <w:rFonts w:ascii="Poppins" w:hAnsi="Poppins" w:eastAsia="Poppins"/>
          <w:b/>
          <w:i w:val="0"/>
          <w:color w:val="7B1113"/>
          <w:sz w:val="30"/>
        </w:rPr>
        <w:t>Section B — Application Questions (20 marks)</w:t>
      </w:r>
    </w:p>
    <w:p>
      <w:pPr>
        <w:keepNext/>
        <w:spacing w:before="280" w:after="120"/>
      </w:pPr>
      <w:r>
        <w:rPr>
          <w:rFonts w:ascii="Poppins" w:hAnsi="Poppins" w:eastAsia="Poppins"/>
          <w:b/>
          <w:i w:val="0"/>
          <w:color w:val="7B1113"/>
          <w:sz w:val="25"/>
        </w:rPr>
        <w:t>Question B1 (12 marks)</w:t>
      </w:r>
    </w:p>
    <w:p>
      <w:pPr>
        <w:spacing w:after="120" w:before="0" w:line="276" w:lineRule="auto"/>
      </w:pPr>
      <w:r>
        <w:rPr>
          <w:rFonts w:ascii="Open Sans" w:hAnsi="Open Sans" w:eastAsia="Open Sans"/>
          <w:b w:val="0"/>
          <w:i w:val="0"/>
          <w:color w:val="2B2626"/>
          <w:sz w:val="22"/>
        </w:rPr>
        <w:t>For university online course registration, a student selects an open course. The system checks prerequisites and active duplicates, atomically reserves capacity and persists the registration in one transaction, then sends confirmation only after commit. On failure the transaction leaves no registration or seat claim.</w:t>
      </w:r>
    </w:p>
    <w:p>
      <w:pPr>
        <w:pStyle w:val="ListBullet"/>
        <w:spacing w:after="80"/>
      </w:pPr>
      <w:r>
        <w:rPr>
          <w:rFonts w:ascii="Open Sans" w:hAnsi="Open Sans" w:eastAsia="Open Sans"/>
          <w:b w:val="0"/>
          <w:i w:val="0"/>
          <w:color w:val="2B2626"/>
          <w:sz w:val="22"/>
        </w:rPr>
        <w:t>(a) Identify the actors and functional requirements. [2 marks]</w:t>
      </w:r>
    </w:p>
    <w:p>
      <w:pPr>
        <w:pStyle w:val="ListBullet"/>
        <w:spacing w:after="80"/>
      </w:pPr>
      <w:r>
        <w:rPr>
          <w:rFonts w:ascii="Open Sans" w:hAnsi="Open Sans" w:eastAsia="Open Sans"/>
          <w:b w:val="0"/>
          <w:i w:val="0"/>
          <w:color w:val="2B2626"/>
          <w:sz w:val="22"/>
        </w:rPr>
        <w:t>(b) Identify candidate domain classes and technical classes. [2 marks]</w:t>
      </w:r>
    </w:p>
    <w:p>
      <w:pPr>
        <w:pStyle w:val="ListBullet"/>
        <w:spacing w:after="80"/>
      </w:pPr>
      <w:r>
        <w:rPr>
          <w:rFonts w:ascii="Open Sans" w:hAnsi="Open Sans" w:eastAsia="Open Sans"/>
          <w:b w:val="0"/>
          <w:i w:val="0"/>
          <w:color w:val="2B2626"/>
          <w:sz w:val="22"/>
        </w:rPr>
        <w:t>(c) Draw the sequence diagram for Register Course, including a rejection path. [3 marks]</w:t>
      </w:r>
    </w:p>
    <w:p>
      <w:pPr>
        <w:pStyle w:val="ListBullet"/>
        <w:spacing w:after="80"/>
      </w:pPr>
      <w:r>
        <w:rPr>
          <w:rFonts w:ascii="Open Sans" w:hAnsi="Open Sans" w:eastAsia="Open Sans"/>
          <w:b w:val="0"/>
          <w:i w:val="0"/>
          <w:color w:val="2B2626"/>
          <w:sz w:val="22"/>
        </w:rPr>
        <w:t>(d) Draw the state machine for Course (Created, Available, Full, Closed). [2 marks]</w:t>
      </w:r>
    </w:p>
    <w:p>
      <w:pPr>
        <w:pStyle w:val="ListBullet"/>
        <w:spacing w:after="80"/>
      </w:pPr>
      <w:r>
        <w:rPr>
          <w:rFonts w:ascii="Open Sans" w:hAnsi="Open Sans" w:eastAsia="Open Sans"/>
          <w:b w:val="0"/>
          <w:i w:val="0"/>
          <w:color w:val="2B2626"/>
          <w:sz w:val="22"/>
        </w:rPr>
        <w:t>(e) Explain how the sequence messages map to class operations. [3 marks]</w:t>
      </w:r>
    </w:p>
    <w:p>
      <w:pPr>
        <w:keepNext/>
        <w:spacing w:before="280" w:after="120"/>
      </w:pPr>
      <w:r>
        <w:rPr>
          <w:rFonts w:ascii="Poppins" w:hAnsi="Poppins" w:eastAsia="Poppins"/>
          <w:b/>
          <w:i w:val="0"/>
          <w:color w:val="7B1113"/>
          <w:sz w:val="25"/>
        </w:rPr>
        <w:t>Question B2 (8 marks)</w:t>
      </w:r>
    </w:p>
    <w:p>
      <w:pPr>
        <w:spacing w:after="120" w:before="0" w:line="276" w:lineRule="auto"/>
      </w:pPr>
      <w:r>
        <w:rPr>
          <w:rFonts w:ascii="Open Sans" w:hAnsi="Open Sans" w:eastAsia="Open Sans"/>
          <w:b w:val="0"/>
          <w:i w:val="0"/>
          <w:color w:val="2B2626"/>
          <w:sz w:val="22"/>
        </w:rPr>
        <w:t>The activity diagram contains Check Payment, but no payment rule is stated and the class model has no payment-related operation, class or component.</w:t>
      </w:r>
    </w:p>
    <w:p>
      <w:pPr>
        <w:pStyle w:val="ListBullet"/>
        <w:spacing w:after="80"/>
      </w:pPr>
      <w:r>
        <w:rPr>
          <w:rFonts w:ascii="Open Sans" w:hAnsi="Open Sans" w:eastAsia="Open Sans"/>
          <w:b w:val="0"/>
          <w:i w:val="0"/>
          <w:color w:val="2B2626"/>
          <w:sz w:val="22"/>
        </w:rPr>
        <w:t>(a) Identify the modelling problem. [2 marks]</w:t>
      </w:r>
    </w:p>
    <w:p>
      <w:pPr>
        <w:pStyle w:val="ListBullet"/>
        <w:spacing w:after="80"/>
      </w:pPr>
      <w:r>
        <w:rPr>
          <w:rFonts w:ascii="Open Sans" w:hAnsi="Open Sans" w:eastAsia="Open Sans"/>
          <w:b w:val="0"/>
          <w:i w:val="0"/>
          <w:color w:val="2B2626"/>
          <w:sz w:val="22"/>
        </w:rPr>
        <w:t>(b) Explain how to reconcile the models with the approved requirements. [3 marks]</w:t>
      </w:r>
    </w:p>
    <w:p>
      <w:pPr>
        <w:pStyle w:val="ListBullet"/>
        <w:spacing w:after="80"/>
      </w:pPr>
      <w:r>
        <w:rPr>
          <w:rFonts w:ascii="Open Sans" w:hAnsi="Open Sans" w:eastAsia="Open Sans"/>
          <w:b w:val="0"/>
          <w:i w:val="0"/>
          <w:color w:val="2B2626"/>
          <w:sz w:val="22"/>
        </w:rPr>
        <w:t>(c) Describe how a CASE tool helps manage this change. [3 marks]</w:t>
      </w:r>
    </w:p>
    <w:p>
      <w:pPr>
        <w:keepNext/>
        <w:spacing w:before="280" w:after="120"/>
        <w:pBdr>
          <w:bottom w:val="single" w:sz="12" w:space="3" w:color="C9A227"/>
        </w:pBdr>
      </w:pPr>
      <w:r>
        <w:rPr>
          <w:rFonts w:ascii="Poppins" w:hAnsi="Poppins" w:eastAsia="Poppins"/>
          <w:b/>
          <w:i w:val="0"/>
          <w:color w:val="7B1113"/>
          <w:sz w:val="30"/>
        </w:rPr>
        <w:t>Section C — Case Study (10 marks)</w:t>
      </w:r>
    </w:p>
    <w:p>
      <w:pPr>
        <w:spacing w:after="120" w:before="0" w:line="276" w:lineRule="auto"/>
      </w:pPr>
      <w:r>
        <w:rPr>
          <w:rFonts w:ascii="Open Sans" w:hAnsi="Open Sans" w:eastAsia="Open Sans"/>
          <w:b w:val="0"/>
          <w:i w:val="0"/>
          <w:color w:val="2B2626"/>
          <w:sz w:val="22"/>
        </w:rPr>
        <w:t>A college wants an Online Library Management System. Students search, borrow, return and view borrowed books. Librarians add or withdraw physical copies, register members and view overdue loans. A Copy is Available until issued, OnLoan while borrowed, and becomes Available on undamaged return; a damaged return enters Maintenance, then becomes Available when repaired. A copy may be Withdrawn only when not on loan. Each Loan links one member and one copy; a copy can have loan history but at most one active loan.</w:t>
      </w:r>
    </w:p>
    <w:p>
      <w:pPr>
        <w:pStyle w:val="ListBullet"/>
        <w:spacing w:after="80"/>
      </w:pPr>
      <w:r>
        <w:rPr>
          <w:rFonts w:ascii="Open Sans" w:hAnsi="Open Sans" w:eastAsia="Open Sans"/>
          <w:b w:val="0"/>
          <w:i w:val="0"/>
          <w:color w:val="2B2626"/>
          <w:sz w:val="22"/>
        </w:rPr>
        <w:t>(a) Identify actors, use cases and candidate classes. [3 marks]</w:t>
      </w:r>
    </w:p>
    <w:p>
      <w:pPr>
        <w:pStyle w:val="ListBullet"/>
        <w:spacing w:after="80"/>
      </w:pPr>
      <w:r>
        <w:rPr>
          <w:rFonts w:ascii="Open Sans" w:hAnsi="Open Sans" w:eastAsia="Open Sans"/>
          <w:b w:val="0"/>
          <w:i w:val="0"/>
          <w:color w:val="2B2626"/>
          <w:sz w:val="22"/>
        </w:rPr>
        <w:t>(b) Draw a sequence diagram for Borrow Book. [3 marks]</w:t>
      </w:r>
    </w:p>
    <w:p>
      <w:pPr>
        <w:pStyle w:val="ListBullet"/>
        <w:spacing w:after="80"/>
      </w:pPr>
      <w:r>
        <w:rPr>
          <w:rFonts w:ascii="Open Sans" w:hAnsi="Open Sans" w:eastAsia="Open Sans"/>
          <w:b w:val="0"/>
          <w:i w:val="0"/>
          <w:color w:val="2B2626"/>
          <w:sz w:val="22"/>
        </w:rPr>
        <w:t>(c) Draw a state machine for Copy using the stated lifecycle. [2 marks]</w:t>
      </w:r>
    </w:p>
    <w:p>
      <w:pPr>
        <w:pStyle w:val="ListBullet"/>
        <w:spacing w:after="80"/>
      </w:pPr>
      <w:r>
        <w:rPr>
          <w:rFonts w:ascii="Open Sans" w:hAnsi="Open Sans" w:eastAsia="Open Sans"/>
          <w:b w:val="0"/>
          <w:i w:val="0"/>
          <w:color w:val="2B2626"/>
          <w:sz w:val="22"/>
        </w:rPr>
        <w:t>(d) Explain how use-case, class, sequence, activity and state-machine diagrams relate to each other. [2 marks]</w:t>
      </w:r>
    </w:p>
    <w:p>
      <w:pPr>
        <w:keepNext/>
        <w:spacing w:before="280" w:after="120"/>
        <w:pBdr>
          <w:bottom w:val="single" w:sz="12" w:space="3" w:color="C9A227"/>
        </w:pBdr>
      </w:pPr>
      <w:r>
        <w:rPr>
          <w:rFonts w:ascii="Poppins" w:hAnsi="Poppins" w:eastAsia="Poppins"/>
          <w:b/>
          <w:i w:val="0"/>
          <w:color w:val="7B1113"/>
          <w:sz w:val="30"/>
        </w:rPr>
        <w:t>Marking Scheme</w:t>
      </w:r>
    </w:p>
    <w:tbl>
      <w:tblPr>
        <w:tblW w:type="auto" w:w="0"/>
        <w:jc w:val="center"/>
        <w:tblLayout w:type="fixed"/>
        <w:tblLook w:firstColumn="1" w:firstRow="1" w:lastColumn="0" w:lastRow="0" w:noHBand="0" w:noVBand="1" w:val="04A0"/>
        <w:tblBorders>
          <w:top w:val="single" w:sz="5" w:space="0" w:color="D8C9C9"/>
          <w:left w:val="single" w:sz="5" w:space="0" w:color="D8C9C9"/>
          <w:bottom w:val="single" w:sz="5" w:space="0" w:color="D8C9C9"/>
          <w:right w:val="single" w:sz="5" w:space="0" w:color="D8C9C9"/>
          <w:insideH w:val="single" w:sz="5" w:space="0" w:color="D8C9C9"/>
          <w:insideV w:val="single" w:sz="5" w:space="0" w:color="D8C9C9"/>
        </w:tblBorders>
      </w:tblPr>
      <w:tblGrid>
        <w:gridCol w:w="2071"/>
        <w:gridCol w:w="2353"/>
        <w:gridCol w:w="4988"/>
      </w:tblGrid>
      <w:tr>
        <w:tc>
          <w:tcPr>
            <w:tcW w:type="dxa" w:w="2071"/>
            <w:vAlign w:val="center"/>
            <w:tcMar>
              <w:top w:w="85" w:type="dxa"/>
              <w:start w:w="100" w:type="dxa"/>
              <w:bottom w:w="85" w:type="dxa"/>
              <w:end w:w="100" w:type="dxa"/>
            </w:tcMar>
            <w:shd w:fill="7B1113" w:val="clear"/>
          </w:tcPr>
          <w:p>
            <w:pPr>
              <w:spacing w:after="0" w:before="0"/>
            </w:pPr>
            <w:r>
              <w:rPr>
                <w:sz w:val="17"/>
              </w:rPr>
            </w:r>
            <w:r>
              <w:rPr>
                <w:b/>
                <w:color w:val="FFFFFF"/>
                <w:sz w:val="17"/>
              </w:rPr>
              <w:t>Section</w:t>
            </w:r>
          </w:p>
        </w:tc>
        <w:tc>
          <w:tcPr>
            <w:tcW w:type="dxa" w:w="2353"/>
            <w:vAlign w:val="center"/>
            <w:tcMar>
              <w:top w:w="85" w:type="dxa"/>
              <w:start w:w="100" w:type="dxa"/>
              <w:bottom w:w="85" w:type="dxa"/>
              <w:end w:w="100" w:type="dxa"/>
            </w:tcMar>
            <w:shd w:fill="7B1113" w:val="clear"/>
          </w:tcPr>
          <w:p>
            <w:pPr>
              <w:spacing w:after="0" w:before="0"/>
            </w:pPr>
            <w:r>
              <w:rPr>
                <w:sz w:val="17"/>
              </w:rPr>
            </w:r>
            <w:r>
              <w:rPr>
                <w:b/>
                <w:color w:val="FFFFFF"/>
                <w:sz w:val="17"/>
              </w:rPr>
              <w:t>Content</w:t>
            </w:r>
          </w:p>
        </w:tc>
        <w:tc>
          <w:tcPr>
            <w:tcW w:type="dxa" w:w="4988"/>
            <w:vAlign w:val="center"/>
            <w:tcMar>
              <w:top w:w="85" w:type="dxa"/>
              <w:start w:w="100" w:type="dxa"/>
              <w:bottom w:w="85" w:type="dxa"/>
              <w:end w:w="100" w:type="dxa"/>
            </w:tcMar>
            <w:shd w:fill="7B1113" w:val="clear"/>
          </w:tcPr>
          <w:p>
            <w:pPr>
              <w:spacing w:after="0" w:before="0"/>
            </w:pPr>
            <w:r>
              <w:rPr>
                <w:sz w:val="17"/>
              </w:rPr>
            </w:r>
            <w:r>
              <w:rPr>
                <w:b/>
                <w:color w:val="FFFFFF"/>
                <w:sz w:val="17"/>
              </w:rPr>
              <w:t>Marks</w:t>
            </w:r>
          </w:p>
        </w:tc>
      </w:tr>
      <w:tr>
        <w:tc>
          <w:tcPr>
            <w:tcW w:type="dxa" w:w="2071"/>
            <w:vAlign w:val="center"/>
            <w:tcMar>
              <w:top w:w="85" w:type="dxa"/>
              <w:start w:w="100" w:type="dxa"/>
              <w:bottom w:w="85" w:type="dxa"/>
              <w:end w:w="100" w:type="dxa"/>
            </w:tcMar>
          </w:tcPr>
          <w:p>
            <w:pPr>
              <w:spacing w:after="0" w:before="0"/>
            </w:pPr>
            <w:r>
              <w:rPr>
                <w:sz w:val="17"/>
              </w:rPr>
            </w:r>
            <w:r>
              <w:rPr>
                <w:sz w:val="17"/>
              </w:rPr>
              <w:t>A</w:t>
            </w:r>
          </w:p>
        </w:tc>
        <w:tc>
          <w:tcPr>
            <w:tcW w:type="dxa" w:w="2353"/>
            <w:vAlign w:val="center"/>
            <w:tcMar>
              <w:top w:w="85" w:type="dxa"/>
              <w:start w:w="100" w:type="dxa"/>
              <w:bottom w:w="85" w:type="dxa"/>
              <w:end w:w="100" w:type="dxa"/>
            </w:tcMar>
          </w:tcPr>
          <w:p>
            <w:pPr>
              <w:spacing w:after="0" w:before="0"/>
            </w:pPr>
            <w:r>
              <w:rPr>
                <w:sz w:val="17"/>
              </w:rPr>
            </w:r>
            <w:r>
              <w:rPr>
                <w:sz w:val="17"/>
              </w:rPr>
              <w:t>Short-answer questions (8 questions)</w:t>
            </w:r>
          </w:p>
        </w:tc>
        <w:tc>
          <w:tcPr>
            <w:tcW w:type="dxa" w:w="4988"/>
            <w:vAlign w:val="center"/>
            <w:tcMar>
              <w:top w:w="85" w:type="dxa"/>
              <w:start w:w="100" w:type="dxa"/>
              <w:bottom w:w="85" w:type="dxa"/>
              <w:end w:w="100" w:type="dxa"/>
            </w:tcMar>
          </w:tcPr>
          <w:p>
            <w:pPr>
              <w:spacing w:after="0" w:before="0"/>
            </w:pPr>
            <w:r>
              <w:rPr>
                <w:sz w:val="17"/>
              </w:rPr>
            </w:r>
            <w:r>
              <w:rPr>
                <w:sz w:val="17"/>
              </w:rPr>
              <w:t>20</w:t>
            </w:r>
          </w:p>
        </w:tc>
      </w:tr>
      <w:tr>
        <w:tc>
          <w:tcPr>
            <w:tcW w:type="dxa" w:w="2071"/>
            <w:vAlign w:val="center"/>
            <w:tcMar>
              <w:top w:w="85" w:type="dxa"/>
              <w:start w:w="100" w:type="dxa"/>
              <w:bottom w:w="85" w:type="dxa"/>
              <w:end w:w="100" w:type="dxa"/>
            </w:tcMar>
            <w:shd w:fill="F8F3F0" w:val="clear"/>
          </w:tcPr>
          <w:p>
            <w:pPr>
              <w:spacing w:after="0" w:before="0"/>
            </w:pPr>
            <w:r>
              <w:rPr>
                <w:sz w:val="17"/>
              </w:rPr>
            </w:r>
            <w:r>
              <w:rPr>
                <w:sz w:val="17"/>
              </w:rPr>
              <w:t>B</w:t>
            </w:r>
          </w:p>
        </w:tc>
        <w:tc>
          <w:tcPr>
            <w:tcW w:type="dxa" w:w="2353"/>
            <w:vAlign w:val="center"/>
            <w:tcMar>
              <w:top w:w="85" w:type="dxa"/>
              <w:start w:w="100" w:type="dxa"/>
              <w:bottom w:w="85" w:type="dxa"/>
              <w:end w:w="100" w:type="dxa"/>
            </w:tcMar>
            <w:shd w:fill="F8F3F0" w:val="clear"/>
          </w:tcPr>
          <w:p>
            <w:pPr>
              <w:spacing w:after="0" w:before="0"/>
            </w:pPr>
            <w:r>
              <w:rPr>
                <w:sz w:val="17"/>
              </w:rPr>
            </w:r>
            <w:r>
              <w:rPr>
                <w:sz w:val="17"/>
              </w:rPr>
              <w:t>Application questions (12 + 8)</w:t>
            </w:r>
          </w:p>
        </w:tc>
        <w:tc>
          <w:tcPr>
            <w:tcW w:type="dxa" w:w="4988"/>
            <w:vAlign w:val="center"/>
            <w:tcMar>
              <w:top w:w="85" w:type="dxa"/>
              <w:start w:w="100" w:type="dxa"/>
              <w:bottom w:w="85" w:type="dxa"/>
              <w:end w:w="100" w:type="dxa"/>
            </w:tcMar>
            <w:shd w:fill="F8F3F0" w:val="clear"/>
          </w:tcPr>
          <w:p>
            <w:pPr>
              <w:spacing w:after="0" w:before="0"/>
            </w:pPr>
            <w:r>
              <w:rPr>
                <w:sz w:val="17"/>
              </w:rPr>
            </w:r>
            <w:r>
              <w:rPr>
                <w:sz w:val="17"/>
              </w:rPr>
              <w:t>20</w:t>
            </w:r>
          </w:p>
        </w:tc>
      </w:tr>
      <w:tr>
        <w:tc>
          <w:tcPr>
            <w:tcW w:type="dxa" w:w="2071"/>
            <w:vAlign w:val="center"/>
            <w:tcMar>
              <w:top w:w="85" w:type="dxa"/>
              <w:start w:w="100" w:type="dxa"/>
              <w:bottom w:w="85" w:type="dxa"/>
              <w:end w:w="100" w:type="dxa"/>
            </w:tcMar>
          </w:tcPr>
          <w:p>
            <w:pPr>
              <w:spacing w:after="0" w:before="0"/>
            </w:pPr>
            <w:r>
              <w:rPr>
                <w:sz w:val="17"/>
              </w:rPr>
            </w:r>
            <w:r>
              <w:rPr>
                <w:sz w:val="17"/>
              </w:rPr>
              <w:t>C</w:t>
            </w:r>
          </w:p>
        </w:tc>
        <w:tc>
          <w:tcPr>
            <w:tcW w:type="dxa" w:w="2353"/>
            <w:vAlign w:val="center"/>
            <w:tcMar>
              <w:top w:w="85" w:type="dxa"/>
              <w:start w:w="100" w:type="dxa"/>
              <w:bottom w:w="85" w:type="dxa"/>
              <w:end w:w="100" w:type="dxa"/>
            </w:tcMar>
          </w:tcPr>
          <w:p>
            <w:pPr>
              <w:spacing w:after="0" w:before="0"/>
            </w:pPr>
            <w:r>
              <w:rPr>
                <w:sz w:val="17"/>
              </w:rPr>
            </w:r>
            <w:r>
              <w:rPr>
                <w:sz w:val="17"/>
              </w:rPr>
              <w:t>Library management system</w:t>
            </w:r>
          </w:p>
        </w:tc>
        <w:tc>
          <w:tcPr>
            <w:tcW w:type="dxa" w:w="4988"/>
            <w:vAlign w:val="center"/>
            <w:tcMar>
              <w:top w:w="85" w:type="dxa"/>
              <w:start w:w="100" w:type="dxa"/>
              <w:bottom w:w="85" w:type="dxa"/>
              <w:end w:w="100" w:type="dxa"/>
            </w:tcMar>
          </w:tcPr>
          <w:p>
            <w:pPr>
              <w:spacing w:after="0" w:before="0"/>
            </w:pPr>
            <w:r>
              <w:rPr>
                <w:sz w:val="17"/>
              </w:rPr>
            </w:r>
            <w:r>
              <w:rPr>
                <w:sz w:val="17"/>
              </w:rPr>
              <w:t>10</w:t>
            </w:r>
          </w:p>
        </w:tc>
      </w:tr>
      <w:tr>
        <w:tc>
          <w:tcPr>
            <w:tcW w:type="dxa" w:w="2071"/>
            <w:vAlign w:val="center"/>
            <w:tcMar>
              <w:top w:w="85" w:type="dxa"/>
              <w:start w:w="100" w:type="dxa"/>
              <w:bottom w:w="85" w:type="dxa"/>
              <w:end w:w="100" w:type="dxa"/>
            </w:tcMar>
            <w:shd w:fill="F8F3F0" w:val="clear"/>
          </w:tcPr>
          <w:p>
            <w:pPr>
              <w:spacing w:after="0" w:before="0"/>
            </w:pPr>
            <w:r>
              <w:rPr>
                <w:sz w:val="17"/>
              </w:rPr>
            </w:r>
          </w:p>
        </w:tc>
        <w:tc>
          <w:tcPr>
            <w:tcW w:type="dxa" w:w="2353"/>
            <w:vAlign w:val="center"/>
            <w:tcMar>
              <w:top w:w="85" w:type="dxa"/>
              <w:start w:w="100" w:type="dxa"/>
              <w:bottom w:w="85" w:type="dxa"/>
              <w:end w:w="100" w:type="dxa"/>
            </w:tcMar>
            <w:shd w:fill="F8F3F0" w:val="clear"/>
          </w:tcPr>
          <w:p>
            <w:pPr>
              <w:spacing w:after="0" w:before="0"/>
            </w:pPr>
            <w:r>
              <w:rPr>
                <w:sz w:val="17"/>
              </w:rPr>
            </w:r>
            <w:r>
              <w:rPr>
                <w:sz w:val="17"/>
              </w:rPr>
              <w:t>TOTAL</w:t>
            </w:r>
          </w:p>
        </w:tc>
        <w:tc>
          <w:tcPr>
            <w:tcW w:type="dxa" w:w="4988"/>
            <w:vAlign w:val="center"/>
            <w:tcMar>
              <w:top w:w="85" w:type="dxa"/>
              <w:start w:w="100" w:type="dxa"/>
              <w:bottom w:w="85" w:type="dxa"/>
              <w:end w:w="100" w:type="dxa"/>
            </w:tcMar>
            <w:shd w:fill="F8F3F0" w:val="clear"/>
          </w:tcPr>
          <w:p>
            <w:pPr>
              <w:spacing w:after="0" w:before="0"/>
            </w:pPr>
            <w:r>
              <w:rPr>
                <w:sz w:val="17"/>
              </w:rPr>
            </w:r>
            <w:r>
              <w:rPr>
                <w:sz w:val="17"/>
              </w:rPr>
              <w:t>50</w:t>
            </w:r>
          </w:p>
        </w:tc>
      </w:tr>
    </w:tbl>
    <w:p>
      <w:pPr>
        <w:spacing w:after="20"/>
      </w:pPr>
    </w:p>
    <w:p>
      <w:pPr>
        <w:keepNext/>
        <w:spacing w:before="280" w:after="120"/>
        <w:pBdr>
          <w:bottom w:val="single" w:sz="12" w:space="3" w:color="C9A227"/>
        </w:pBdr>
      </w:pPr>
      <w:r>
        <w:rPr>
          <w:rFonts w:ascii="Poppins" w:hAnsi="Poppins" w:eastAsia="Poppins"/>
          <w:b/>
          <w:i w:val="0"/>
          <w:color w:val="7B1113"/>
          <w:sz w:val="30"/>
        </w:rPr>
        <w:t>Submission &amp; Academic Integrity</w:t>
      </w:r>
    </w:p>
    <w:p>
      <w:pPr>
        <w:pStyle w:val="ListBullet"/>
        <w:spacing w:after="80"/>
      </w:pPr>
      <w:r>
        <w:rPr>
          <w:rFonts w:ascii="Open Sans" w:hAnsi="Open Sans" w:eastAsia="Open Sans"/>
          <w:b w:val="0"/>
          <w:i w:val="0"/>
          <w:color w:val="2B2626"/>
          <w:sz w:val="22"/>
        </w:rPr>
        <w:t>Submit a typed document (or neatly handwritten, as directed by your lecturer).</w:t>
      </w:r>
    </w:p>
    <w:p>
      <w:pPr>
        <w:pStyle w:val="ListBullet"/>
        <w:spacing w:after="80"/>
      </w:pPr>
      <w:r>
        <w:rPr>
          <w:rFonts w:ascii="Open Sans" w:hAnsi="Open Sans" w:eastAsia="Open Sans"/>
          <w:b w:val="0"/>
          <w:i w:val="0"/>
          <w:color w:val="2B2626"/>
          <w:sz w:val="22"/>
        </w:rPr>
        <w:t>This is individual work. Plagiarism or copying attracts a penalty under university regulations.</w:t>
      </w:r>
    </w:p>
    <w:p>
      <w:pPr>
        <w:pStyle w:val="ListBullet"/>
        <w:spacing w:after="80"/>
      </w:pPr>
      <w:r>
        <w:rPr>
          <w:rFonts w:ascii="Open Sans" w:hAnsi="Open Sans" w:eastAsia="Open Sans"/>
          <w:b w:val="0"/>
          <w:i w:val="0"/>
          <w:color w:val="2B2626"/>
          <w:sz w:val="22"/>
        </w:rPr>
        <w:t>Use correct UML notation, including multiplicities, messages, events and guards.</w:t>
      </w:r>
    </w:p>
    <w:p>
      <w:pPr>
        <w:pStyle w:val="ListBullet"/>
        <w:spacing w:after="80"/>
      </w:pPr>
      <w:r>
        <w:rPr>
          <w:rFonts w:ascii="Open Sans" w:hAnsi="Open Sans" w:eastAsia="Open Sans"/>
          <w:b w:val="0"/>
          <w:i w:val="0"/>
          <w:color w:val="2B2626"/>
          <w:sz w:val="22"/>
        </w:rPr>
        <w:t>Cite sources using the format in the Week 15 module references.</w:t>
      </w:r>
    </w:p>
    <w:sectPr w:rsidR="00FC693F" w:rsidRPr="0006063C" w:rsidSect="00034616">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eastAsia="Open Sans"/>
        <w:b w:val="0"/>
        <w:i w:val="0"/>
        <w:color w:val="6B6B6B"/>
        <w:sz w:val="18"/>
      </w:rPr>
      <w:t xml:space="preserve">Exploits University · BICT 3202 OOAD — Assignment  |  Page </w:t>
    </w:r>
    <w:r>
      <w:rPr>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2B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