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360"/>
      </w:pPr>
      <w:r>
        <w:t xml:space="preserve">Strategic Analysis of RFP #26-0028 Addendum #2</w:t>
      </w:r>
    </w:p>
    <w:p>
      <w:pPr>
        <w:spacing w:after="80"/>
      </w:pPr>
    </w:p>
    <w:p>
      <w:pPr>
        <w:spacing w:after="100"/>
      </w:pPr>
      <w:r>
        <w:rPr>
          <w:b/>
          <w:bCs/>
        </w:rPr>
        <w:t xml:space="preserve">Subject:</w:t>
      </w:r>
      <w:r>
        <w:t xml:space="preserve"> Sedgwick County Addendum #2 — Issued May 22, 2026 by Tammy Culley, Purchasing Agent</w:t>
      </w:r>
    </w:p>
    <w:p>
      <w:pPr>
        <w:spacing w:after="100"/>
      </w:pPr>
      <w:r>
        <w:rPr>
          <w:b/>
          <w:bCs/>
        </w:rPr>
        <w:t xml:space="preserve">Prepared by:</w:t>
      </w:r>
      <w:r>
        <w:t xml:space="preserve"> Eric Hargrave, CEO — Hargrave Innovative Solutions (Prime Contractor)</w:t>
      </w:r>
    </w:p>
    <w:p>
      <w:pPr>
        <w:spacing w:after="100"/>
      </w:pPr>
      <w:r>
        <w:rPr>
          <w:b/>
          <w:bCs/>
        </w:rPr>
        <w:t xml:space="preserve">For:</w:t>
      </w:r>
      <w:r>
        <w:t xml:space="preserve"> Vitality Proposal Team — Love Clinic MedSpa · Vanntastic Solutions · The COLLABORATIVE Advocate Foundation</w:t>
      </w:r>
    </w:p>
    <w:p>
      <w:pPr>
        <w:spacing w:after="100"/>
      </w:pPr>
      <w:r>
        <w:rPr>
          <w:b/>
          <w:bCs/>
        </w:rPr>
        <w:t xml:space="preserve">Purpose:</w:t>
      </w:r>
      <w:r>
        <w:t xml:space="preserve"> Document the strategic conclusions the Vitality proposal team drew from Addendum #2, and the operational changes those conclusions drive in our proposal response to RFP #26-0028.</w:t>
      </w:r>
    </w:p>
    <w:p>
      <w:pPr>
        <w:spacing w:after="80"/>
      </w:pPr>
    </w:p>
    <w:p>
      <w:pPr>
        <w:pBdr>
          <w:bottom w:val="single" w:color="999999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40" w:before="280"/>
      </w:pPr>
      <w:r>
        <w:t xml:space="preserve">1. The GLP-1 number is the entire story</w:t>
      </w:r>
    </w:p>
    <w:p>
      <w:pPr>
        <w:spacing w:after="80"/>
      </w:pPr>
    </w:p>
    <w:p>
      <w:pPr>
        <w:spacing w:after="100"/>
      </w:pPr>
      <w:r>
        <w:t xml:space="preserve">Addendum #2 disclosed three numbers that, together, reframe the entire proposal: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373 members are currently on GLP-1 medications</w:t>
      </w:r>
      <w:r>
        <w:t xml:space="preserve"> through the County's medical plan.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705 members used a GLP-1 in the past 12 months.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County's </w:t>
      </w:r>
      <w:r>
        <w:rPr>
          <w:b/>
          <w:bCs/>
        </w:rPr>
        <w:t xml:space="preserve">only current GLP-1 cost-containment tool is OptumRx prior authorization</w:t>
      </w:r>
      <w:r>
        <w:t xml:space="preserve">.</w:t>
      </w:r>
    </w:p>
    <w:p>
      <w:pPr>
        <w:spacing w:after="80"/>
      </w:pPr>
    </w:p>
    <w:p>
      <w:pPr>
        <w:spacing w:after="100"/>
      </w:pPr>
      <w:r>
        <w:t xml:space="preserve">Three observations follow:</w:t>
      </w:r>
    </w:p>
    <w:p>
      <w:pPr>
        <w:spacing w:after="80"/>
      </w:pPr>
    </w:p>
    <w:p>
      <w:pPr>
        <w:spacing w:after="100"/>
      </w:pPr>
      <w:r>
        <w:rPr>
          <w:b/>
          <w:bCs/>
        </w:rPr>
        <w:t xml:space="preserve">(a) The County is already spending heavily on GLP-1 medications.</w:t>
      </w:r>
      <w:r>
        <w:t xml:space="preserve"> At the conservative unmanaged rate of $13,800/patient/year (RAND Corporation, 2023), 373 current members represent approximately </w:t>
      </w:r>
      <w:r>
        <w:rPr>
          <w:b/>
          <w:bCs/>
        </w:rPr>
        <w:t xml:space="preserve">$5.15M per year in GLP-1 pharmacy spend</w:t>
      </w:r>
      <w:r>
        <w:t xml:space="preserve"> with zero clinical wraparound.</w:t>
      </w:r>
    </w:p>
    <w:p>
      <w:pPr>
        <w:spacing w:after="80"/>
      </w:pPr>
    </w:p>
    <w:p>
      <w:pPr>
        <w:spacing w:after="100"/>
      </w:pPr>
      <w:r>
        <w:rPr>
          <w:b/>
          <w:bCs/>
        </w:rPr>
        <w:t xml:space="preserve">(b) The ~47% twelve-month non-continuation rate is the diagnostic signal.</w:t>
      </w:r>
      <w:r>
        <w:t xml:space="preserve"> 705 members used a GLP-1 in the past twelve months but only 373 are on therapy today — a ~47% non-continuation rate. We deliberately label this "non-continuation" rather than pure discontinuation, because the County figure may include planned course completions, approved-but-never-filled prior authorizations, within-class therapy switches, and recent starters still in titration. Even with those qualifications, the figure sits squarely within the published unmanaged-GLP-1 range of 30–50% twelve-month non-continuation (Gleason et al., JAMA Network Open 2024; AHIP real-world adherence analysis 2023), and the underlying drivers are well-established: side effects without titration support, no behavioral coaching, no clinical follow-up. Each member in the non-continuation differential has consumed pharmacy dollars without achieving sustained outcomes.</w:t>
      </w:r>
    </w:p>
    <w:p>
      <w:pPr>
        <w:spacing w:after="80"/>
      </w:pPr>
    </w:p>
    <w:p>
      <w:pPr>
        <w:spacing w:after="100"/>
      </w:pPr>
      <w:r>
        <w:rPr>
          <w:b/>
          <w:bCs/>
        </w:rPr>
        <w:t xml:space="preserve">(c) The modeled Year-1 capture opportunity is approximately $2.09M.</w:t>
      </w:r>
      <w:r>
        <w:t xml:space="preserve"> At RAND's conservative figure of $5,600 cost differential between unmanaged and managed GLP-1 therapy, the 373 current users represent approximately $2.09M/year in addressable annual spend. That single line item </w:t>
      </w:r>
      <w:r>
        <w:rPr>
          <w:b/>
          <w:bCs/>
        </w:rPr>
        <w:t xml:space="preserve">nearly funds the entire Year-1 Vitality program cost of $1.71M</w:t>
      </w:r>
      <w:r>
        <w:t xml:space="preserve"> at the lifestyle pathway baseline. We label this a "capture opportunity" rather than a "guaranteed saving" because realization depends on member uptake; the Vitality proposal converts this model into a commitment via at-risk pricing tied to a ≥30% twelve-month retention threshold on the 373-cohort.</w:t>
      </w:r>
    </w:p>
    <w:p>
      <w:pPr>
        <w:spacing w:after="80"/>
      </w:pPr>
    </w:p>
    <w:p>
      <w:pPr>
        <w:spacing w:after="100"/>
      </w:pPr>
      <w:r>
        <w:rPr>
          <w:b/>
          <w:bCs/>
        </w:rPr>
        <w:t xml:space="preserve">Strategic implication:</w:t>
      </w:r>
      <w:r>
        <w:t xml:space="preserve"> The Vitality executive summary, ROI section, and pricing model are all reorganized around the $2.09M GLP-1 capture as the headline economic argument. Generic obesity-population ROI math is retained as supporting evidence, not as the lead.</w:t>
      </w:r>
    </w:p>
    <w:p>
      <w:pPr>
        <w:spacing w:after="80"/>
      </w:pPr>
    </w:p>
    <w:p>
      <w:pPr>
        <w:pBdr>
          <w:bottom w:val="single" w:color="999999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40" w:before="280"/>
      </w:pPr>
      <w:r>
        <w:t xml:space="preserve">2. The County has named its own incumbent strategy as insufficient</w:t>
      </w:r>
    </w:p>
    <w:p>
      <w:pPr>
        <w:spacing w:after="80"/>
      </w:pPr>
    </w:p>
    <w:p>
      <w:pPr>
        <w:spacing w:after="100"/>
      </w:pPr>
      <w:r>
        <w:t xml:space="preserve">The Addendum states verbatim: </w:t>
      </w:r>
      <w:r>
        <w:rPr>
          <w:i/>
          <w:iCs/>
        </w:rPr>
        <w:t xml:space="preserve">"Current cost containment is tied to prior authorization program with PBM."</w:t>
      </w:r>
    </w:p>
    <w:p>
      <w:pPr>
        <w:spacing w:after="80"/>
      </w:pPr>
    </w:p>
    <w:p>
      <w:pPr>
        <w:spacing w:after="100"/>
      </w:pPr>
      <w:r>
        <w:t xml:space="preserve">That is the County's only existing GLP-1 cost-control tool today. The ~47% twelve-month non-continuation rate demonstrates that prior authorization, on its own, is not delivering sustained value: it gates approval at the moment of prescription, but does nothing to keep members on therapy, manage side effects, support behavioral change, or convert pharmacy spend into measurable health outcomes.</w:t>
      </w:r>
    </w:p>
    <w:p>
      <w:pPr>
        <w:spacing w:after="80"/>
      </w:pPr>
    </w:p>
    <w:p>
      <w:pPr>
        <w:spacing w:after="100"/>
      </w:pPr>
      <w:r>
        <w:t xml:space="preserve">The Addendum further clarifies the County's preference: </w:t>
      </w:r>
      <w:r>
        <w:rPr>
          <w:i/>
          <w:iCs/>
        </w:rPr>
        <w:t xml:space="preserve">"A broader support-focused program centered around outcomes, health coaching participation, and sustainable lifestyle changes."</w:t>
      </w:r>
      <w:r>
        <w:t xml:space="preserve"> The County explicitly rejected a compliance-focused program.</w:t>
      </w:r>
    </w:p>
    <w:p>
      <w:pPr>
        <w:spacing w:after="80"/>
      </w:pPr>
    </w:p>
    <w:p>
      <w:pPr>
        <w:spacing w:after="100"/>
      </w:pPr>
      <w:r>
        <w:rPr>
          <w:b/>
          <w:bCs/>
        </w:rPr>
        <w:t xml:space="preserve">Strategic implication:</w:t>
      </w:r>
      <w:r>
        <w:t xml:space="preserve"> Any competing vendor whose value proposition is "we will deny more claims" or "we will tighten prior authorization" is misaligned with what the County asked for. Vitality's coaching-plus-clinical wraparound model is the direct antidote to the failure mode the County itself identified.</w:t>
      </w:r>
    </w:p>
    <w:p>
      <w:pPr>
        <w:spacing w:after="80"/>
      </w:pPr>
    </w:p>
    <w:p>
      <w:pPr>
        <w:pBdr>
          <w:bottom w:val="single" w:color="999999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40" w:before="280"/>
      </w:pPr>
      <w:r>
        <w:t xml:space="preserve">3. The County is buying program design, not administration</w:t>
      </w:r>
    </w:p>
    <w:p>
      <w:pPr>
        <w:spacing w:after="80"/>
      </w:pPr>
    </w:p>
    <w:p>
      <w:pPr>
        <w:spacing w:after="100"/>
      </w:pPr>
      <w:r>
        <w:t xml:space="preserve">The Addendum confirms: </w:t>
      </w:r>
      <w:r>
        <w:rPr>
          <w:i/>
          <w:iCs/>
        </w:rPr>
        <w:t xml:space="preserve">"Recommend and design a comprehensive solution."</w:t>
      </w:r>
    </w:p>
    <w:p>
      <w:pPr>
        <w:spacing w:after="80"/>
      </w:pPr>
    </w:p>
    <w:p>
      <w:pPr>
        <w:spacing w:after="100"/>
      </w:pPr>
      <w:r>
        <w:t xml:space="preserve">The County is not procuring a turnkey SaaS tool — it is procuring a designed program. The four-partner Vitality team (clinical, wellness, digital platform, and prime contractor) is purpose-built for this scope.</w:t>
      </w:r>
    </w:p>
    <w:p>
      <w:pPr>
        <w:spacing w:after="80"/>
      </w:pPr>
    </w:p>
    <w:p>
      <w:pPr>
        <w:spacing w:after="100"/>
      </w:pPr>
      <w:r>
        <w:t xml:space="preserve">The Addendum also confirmed that </w:t>
      </w:r>
      <w:r>
        <w:rPr>
          <w:b/>
          <w:bCs/>
        </w:rPr>
        <w:t xml:space="preserve">either clinical model is acceptable</w:t>
      </w:r>
      <w:r>
        <w:t xml:space="preserve">: prescribing physicians employed by the vendor, OR NBHWC-credentialed coaches supporting members' existing prescribers. Vitality offers </w:t>
      </w:r>
      <w:r>
        <w:rPr>
          <w:b/>
          <w:bCs/>
        </w:rPr>
        <w:t xml:space="preserve">both within a single integrated program</w:t>
      </w:r>
      <w:r>
        <w:t xml:space="preserve">: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Dr. Chela Love, DNP</w:t>
      </w:r>
      <w:r>
        <w:t xml:space="preserve"> (Love Clinic MedSpa) serves as the prescribing clinical lead for members who prefer in-program prescribing and protocol-driven titration.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Dr. J. Michelle Vann, Dcc, ThD, MS</w:t>
      </w:r>
      <w:r>
        <w:t xml:space="preserve"> (Vanntastic Solutions) leads the behavioral coaching model for members who prefer to stay with their existing primary care provider.</w:t>
      </w:r>
    </w:p>
    <w:p>
      <w:pPr>
        <w:spacing w:after="80"/>
      </w:pPr>
    </w:p>
    <w:p>
      <w:pPr>
        <w:spacing w:after="100"/>
      </w:pPr>
      <w:r>
        <w:rPr>
          <w:b/>
          <w:bCs/>
        </w:rPr>
        <w:t xml:space="preserve">Strategic implication:</w:t>
      </w:r>
      <w:r>
        <w:t xml:space="preserve"> This is a flexibility differentiator that most competing vendors will not match. We lead the clinical-design section of the proposal with this dual-pathway choice, framed as member-centric rather than vendor-centric.</w:t>
      </w:r>
    </w:p>
    <w:p>
      <w:pPr>
        <w:spacing w:after="80"/>
      </w:pPr>
    </w:p>
    <w:p>
      <w:pPr>
        <w:pBdr>
          <w:bottom w:val="single" w:color="999999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40" w:before="280"/>
      </w:pPr>
      <w:r>
        <w:t xml:space="preserve">4. The eligible population is materially larger than typical estimates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t xml:space="preserve">Metric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t xml:space="preserve">County figure (Addendum #2)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t xml:space="preserve">Source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t xml:space="preserve">Total members enrolled on County medical plans (all ages)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t xml:space="preserve">5,871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t xml:space="preserve">Addendum #2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t xml:space="preserve">Eligible adult population (EE + dependents 18+)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t xml:space="preserve">4,213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t xml:space="preserve">Addendum #2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t xml:space="preserve">Female share of population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t xml:space="preserve">53%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t xml:space="preserve">Addendum #2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t xml:space="preserve">Currently on GLP-1 medication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t xml:space="preserve">373 (6.3% of enrolled)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t xml:space="preserve">Addendum #2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t xml:space="preserve">Used GLP-1 in past 12 months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t xml:space="preserve">705 (12.0% of enrolled)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t xml:space="preserve">Addendum #2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t xml:space="preserve">CDC PLACES county obesity prevalence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t xml:space="preserve">36.2%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t xml:space="preserve">CDC PLACES 2023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t xml:space="preserve">Modeled at-risk adult population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t xml:space="preserve">~1,525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t xml:space="preserve">Derived: 4,213 × 36.2%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t xml:space="preserve">Target Vitality enrollment (35% of at-risk)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t xml:space="preserve">534 members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t xml:space="preserve">Industry-standard voluntary uptake with employer incentive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t xml:space="preserve">Year-1 program cost at lifestyle baseline ($3,200/member)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t xml:space="preserve">~$1.71M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t xml:space="preserve">Vitality reconciled pricing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t xml:space="preserve">Status-quo cost of 1,525 at-risk adults with no intervention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t xml:space="preserve">~$4.02M/yr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t xml:space="preserve">Derived: 1,525 × $2,639 medical + productivity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t xml:space="preserve">The Addendum also disclosed: </w:t>
      </w:r>
      <w:r>
        <w:rPr>
          <w:i/>
          <w:iCs/>
        </w:rPr>
        <w:t xml:space="preserve">"BMI ≥ 30 count: information unavailable through carrier."</w:t>
      </w:r>
      <w:r>
        <w:t xml:space="preserve"> This is significant. Any vendor claiming precise BMI-distribution-based outcome forecasts is bluffing — the source data does not exist within the carrier's reporting. Vitality's CDC PLACES anchored modeling is the only defensible approach in the absence of direct claims data.</w:t>
      </w:r>
    </w:p>
    <w:p>
      <w:pPr>
        <w:spacing w:after="80"/>
      </w:pPr>
    </w:p>
    <w:p>
      <w:pPr>
        <w:spacing w:after="100"/>
      </w:pPr>
      <w:r>
        <w:rPr>
          <w:b/>
          <w:bCs/>
        </w:rPr>
        <w:t xml:space="preserve">Strategic implication:</w:t>
      </w:r>
      <w:r>
        <w:t xml:space="preserve"> Our methodology section explicitly acknowledges the BMI-data limitation and explains why CDC PLACES county-level prevalence is the conservative, evaluator-defensible substitute. Competitors who claim BMI-precise forecasts open themselves to challenge.</w:t>
      </w:r>
    </w:p>
    <w:p>
      <w:pPr>
        <w:spacing w:after="80"/>
      </w:pPr>
    </w:p>
    <w:p>
      <w:pPr>
        <w:pBdr>
          <w:bottom w:val="single" w:color="999999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40" w:before="280"/>
      </w:pPr>
      <w:r>
        <w:t xml:space="preserve">5. The competitive landscape is now fully visible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t xml:space="preserve">What the Addendum confirmed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t xml:space="preserve">Strategic implication for Vitality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No incumbent weight-management vendor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t xml:space="preserve">True greenfield. No displacement story to fight. The Vitality vs. status-quo framing dominates.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Broker of record: IMA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t xml:space="preserve">IMA will be present in the evaluation room. We engage them as a partner, not a gatekeeper, and provide IMA-facing economic summaries.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Current wellness platform: Rally (via UHC)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t xml:space="preserve">We coexist with Rally as a clinical and engagement layer — Rally serves the general wellness population; Vitality serves the obesity and GLP-1 sub-population. Our integration narrative is "complement, not replace."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TPA: UnitedHealthcare</w:t>
            </w:r>
            <w:r>
              <w:t xml:space="preserve"> (self-insured Group #902769)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t xml:space="preserve">Known integration surfaces. UHC supports FHIR R4 for eligibility and claims feeds. Integration risk is low; timeline is predictable.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PBM: OptumRx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t xml:space="preserve">Standard pharmacy data feeds available. Our GLP-1 utilization reporting requires OptumRx authorization-status and fill-history feeds, both well-precedented.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No fixed budget; "focused on cost savings"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t xml:space="preserve">A value-based, ROI-anchored pitch wins. The proposal leads with the $2.09M GLP-1 capture as the price-anchor.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Service delivery: virtual only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t xml:space="preserve">Aligns perfectly with Vitality's PWA-native model. Competitors proposing onsite-heavy delivery will be overspending against the County's stated preference.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Adults 18+ only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t xml:space="preserve">Simplifies clinical pathway scope; no pediatric protocols required.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"Network Access" evaluation criterion = integration capability, not provider network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t xml:space="preserve">The County clarified this directly. We reframe the section as a Vitality strength: integration with UHC + OptumRx + Rally + HRIS is our differentiator.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999999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40" w:before="280"/>
      </w:pPr>
      <w:r>
        <w:t xml:space="preserve">6. The KPIs the County named, in order</w:t>
      </w:r>
    </w:p>
    <w:p>
      <w:pPr>
        <w:spacing w:after="80"/>
      </w:pPr>
    </w:p>
    <w:p>
      <w:pPr>
        <w:spacing w:after="100"/>
      </w:pPr>
      <w:r>
        <w:t xml:space="preserve">Addendum #2 named three KPIs, in this exact order: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Continued member engagement</w:t>
      </w:r>
      <w:r>
        <w:t xml:space="preserve"> — Vitality response: VITA AI persistent-memory advisor + Dr. Vann's behavioral coaching cadence + a weekly check-in protocol with automated escalation for disengagement at 14 days.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Proper use of GLP-1 medications</w:t>
      </w:r>
      <w:r>
        <w:t xml:space="preserve"> — Vitality response: Dr. Love's clinical protocol with structured titration, side-effect management, adherence monitoring, and OptumRx-integrated fill-history reconciliation.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Cost savings</w:t>
      </w:r>
      <w:r>
        <w:t xml:space="preserve"> — Vitality response: $2.09M GLP-1 capture (managed protocol) + $675K medical savings (DPP-validated) + $282K productivity savings (RAND) = </w:t>
      </w:r>
      <w:r>
        <w:rPr>
          <w:b/>
          <w:bCs/>
        </w:rPr>
        <w:t xml:space="preserve">$3.05M Year-1 economic opportunity against $1.71M program cost</w:t>
      </w:r>
      <w:r>
        <w:t xml:space="preserve">.</w:t>
      </w:r>
    </w:p>
    <w:p>
      <w:pPr>
        <w:spacing w:after="80"/>
      </w:pPr>
    </w:p>
    <w:p>
      <w:pPr>
        <w:spacing w:after="100"/>
      </w:pPr>
      <w:r>
        <w:t xml:space="preserve">Notably absent from the County's KPI language: weight-loss percentages, BMI reduction targets, specific clinical biomarkers. The County views those as </w:t>
      </w:r>
      <w:r>
        <w:rPr>
          <w:i/>
          <w:iCs/>
        </w:rPr>
        <w:t xml:space="preserve">means</w:t>
      </w:r>
      <w:r>
        <w:t xml:space="preserve">, not </w:t>
      </w:r>
      <w:r>
        <w:rPr>
          <w:i/>
          <w:iCs/>
        </w:rPr>
        <w:t xml:space="preserve">ends</w:t>
      </w:r>
      <w:r>
        <w:t xml:space="preserve">.</w:t>
      </w:r>
    </w:p>
    <w:p>
      <w:pPr>
        <w:spacing w:after="80"/>
      </w:pPr>
    </w:p>
    <w:p>
      <w:pPr>
        <w:spacing w:after="100"/>
      </w:pPr>
      <w:r>
        <w:rPr>
          <w:b/>
          <w:bCs/>
        </w:rPr>
        <w:t xml:space="preserve">Strategic implication:</w:t>
      </w:r>
      <w:r>
        <w:t xml:space="preserve"> Vitality's reporting framework presents weight-loss and clinical outcomes as </w:t>
      </w:r>
      <w:r>
        <w:rPr>
          <w:b/>
          <w:bCs/>
        </w:rPr>
        <w:t xml:space="preserve">drivers</w:t>
      </w:r>
      <w:r>
        <w:t xml:space="preserve"> of the three County KPIs, never as standalone metrics. Every dashboard, every quarterly report, every executive briefing leads with engagement, GLP-1 utilization, and savings — in that order.</w:t>
      </w:r>
    </w:p>
    <w:p>
      <w:pPr>
        <w:spacing w:after="80"/>
      </w:pPr>
    </w:p>
    <w:p>
      <w:pPr>
        <w:pBdr>
          <w:bottom w:val="single" w:color="999999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40" w:before="280"/>
      </w:pPr>
      <w:r>
        <w:t xml:space="preserve">7. Procurement process facts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Addendum #2 was signed by Tammy Culley, Purchasing Agent.</w:t>
      </w:r>
      <w:r>
        <w:t xml:space="preserve"> All proposal-related communication will route through Ms. Culley exclusively. No outreach to the County Manager's office, Risk Management, Human Resources, or the Board of County Commissioners regarding this solicitation.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Acknowledgment of Addendum #2 on the RFP response page is mandatory.</w:t>
      </w:r>
      <w:r>
        <w:t xml:space="preserve"> A signed acknowledgment is included as Appendix C of the Vitality proposal.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Deadline: 1:45 PM CDT, June 2, 2026.</w:t>
      </w:r>
      <w:r>
        <w:t xml:space="preserve"> No late acceptance.</w:t>
      </w:r>
    </w:p>
    <w:p>
      <w:pPr>
        <w:spacing w:after="80"/>
      </w:pPr>
    </w:p>
    <w:p>
      <w:pPr>
        <w:pBdr>
          <w:bottom w:val="single" w:color="999999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40" w:before="280"/>
      </w:pPr>
      <w:r>
        <w:t xml:space="preserve">Summary — the three-sentence thesis</w:t>
      </w:r>
    </w:p>
    <w:p>
      <w:pPr>
        <w:spacing w:after="80"/>
      </w:pPr>
    </w:p>
    <w:p>
      <w:pPr>
        <w:pBdr>
          <w:left w:val="single" w:color="666666" w:sz="12" w:space="8"/>
        </w:pBdr>
        <w:spacing w:after="120"/>
        <w:ind w:left="720"/>
      </w:pPr>
      <w:r>
        <w:t xml:space="preserve">Sedgwick County is already spending approximately $5.15M per year on unmanaged GLP-1 medications for 373 employees and dependents, with a ~47% twelve-month non-continuation rate — consistent with published unmanaged-GLP-1 patterns of 30–50% — that demonstrates prior authorization alone is not working. Vitality's integrated clinical-plus-coaching managed-care protocol represents a modeled Year-1 capture opportunity of approximately $2.09M against that current spend — nearly funding the entire program — while delivering a sustainable lifestyle change pathway for the broader 1,525 at-risk adult population. We build with, not against, UnitedHealthcare, OptumRx, and Rally; we displace no existing vendor; and we are the only respondent purpose-built for the four-partner program design model the County asked for.</w:t>
      </w:r>
    </w:p>
    <w:p>
      <w:pPr>
        <w:spacing w:after="80"/>
      </w:pPr>
    </w:p>
    <w:p>
      <w:pPr>
        <w:spacing w:after="100"/>
      </w:pPr>
      <w:r>
        <w:t xml:space="preserve">Every section of the Vitality proposal supports this thesis.</w:t>
      </w:r>
    </w:p>
    <w:p>
      <w:pPr>
        <w:spacing w:after="80"/>
      </w:pP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2026-05-23T18:32:23.630Z</dcterms:created>
  <dcterms:modified xsi:type="dcterms:W3CDTF">2026-05-23T18:32:23.630Z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