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3A5F"/>
          <w:sz w:val="32"/>
          <w:szCs w:val="32"/>
        </w:rPr>
        <w:t xml:space="preserve">TCAF Benefits Enrollment Collaborative</w:t>
      </w:r>
    </w:p>
    <w:p>
      <w:pPr>
        <w:spacing w:after="120"/>
      </w:pPr>
      <w:r>
        <w:rPr>
          <w:rFonts w:ascii="Calibri" w:cs="Calibri" w:eastAsia="Calibri" w:hAnsi="Calibri"/>
          <w:b/>
          <w:bCs/>
        </w:rPr>
        <w:t xml:space="preserve">Request:</w:t>
      </w:r>
      <w:r>
        <w:rPr>
          <w:rFonts w:ascii="Calibri" w:cs="Calibri" w:eastAsia="Calibri" w:hAnsi="Calibri"/>
        </w:rPr>
        <w:t xml:space="preserve"> $1,000,000 over 24 months · </w:t>
      </w:r>
      <w:r>
        <w:rPr>
          <w:rFonts w:ascii="Calibri" w:cs="Calibri" w:eastAsia="Calibri" w:hAnsi="Calibri"/>
          <w:b/>
          <w:bCs/>
        </w:rPr>
        <w:t xml:space="preserve">Match:</w:t>
      </w:r>
      <w:r>
        <w:rPr>
          <w:rFonts w:ascii="Calibri" w:cs="Calibri" w:eastAsia="Calibri" w:hAnsi="Calibri"/>
        </w:rPr>
        <w:t xml:space="preserve"> $200,000 (20%) · </w:t>
      </w:r>
      <w:r>
        <w:rPr>
          <w:rFonts w:ascii="Calibri" w:cs="Calibri" w:eastAsia="Calibri" w:hAnsi="Calibri"/>
          <w:b/>
          <w:bCs/>
        </w:rPr>
        <w:t xml:space="preserve">Region:</w:t>
      </w:r>
      <w:r>
        <w:rPr>
          <w:rFonts w:ascii="Calibri" w:cs="Calibri" w:eastAsia="Calibri" w:hAnsi="Calibri"/>
        </w:rPr>
        <w:t xml:space="preserve"> Travis, Williamson, Hays, Bastrop, Caldwell · </w:t>
      </w:r>
      <w:r>
        <w:rPr>
          <w:rFonts w:ascii="Calibri" w:cs="Calibri" w:eastAsia="Calibri" w:hAnsi="Calibri"/>
          <w:b/>
          <w:bCs/>
        </w:rPr>
        <w:t xml:space="preserve">Primary County:</w:t>
      </w:r>
      <w:r>
        <w:rPr>
          <w:rFonts w:ascii="Calibri" w:cs="Calibri" w:eastAsia="Calibri" w:hAnsi="Calibri"/>
        </w:rPr>
        <w:t xml:space="preserve"> Travis</w:t>
      </w:r>
    </w:p>
    <w:p>
      <w:pPr>
        <w:spacing w:after="120"/>
      </w:pPr>
      <w:r>
        <w:rPr>
          <w:rFonts w:ascii="Calibri" w:cs="Calibri" w:eastAsia="Calibri" w:hAnsi="Calibri"/>
          <w:b/>
          <w:bCs/>
        </w:rPr>
        <w:t xml:space="preserve">Live hub:</w:t>
      </w:r>
      <w:r>
        <w:rPr>
          <w:rFonts w:ascii="Calibri" w:cs="Calibri" w:eastAsia="Calibri" w:hAnsi="Calibri"/>
        </w:rPr>
        <w:t xml:space="preserve"> </w:t>
      </w:r>
      <w:hyperlink w:history="1" r:id="rIdfim0jqcww67wn1gneiemd">
        <w:r>
          <w:rPr>
            <w:rStyle w:val="Hyperlink"/>
            <w:rFonts w:ascii="Calibri" w:cs="Calibri" w:eastAsia="Calibri" w:hAnsi="Calibri"/>
            <w:color w:val="0563C1"/>
            <w:u w:val="single"/>
          </w:rPr>
          <w:t xml:space="preserve">lifetransitionsaid.org/st-davids</w:t>
        </w:r>
      </w:hyperlink>
      <w:r>
        <w:rPr>
          <w:rFonts w:ascii="Calibri" w:cs="Calibri" w:eastAsia="Calibri" w:hAnsi="Calibri"/>
        </w:rPr>
        <w:t xml:space="preserve"> — </w:t>
      </w:r>
      <w:r>
        <w:rPr>
          <w:rFonts w:ascii="Calibri" w:cs="Calibri" w:eastAsia="Calibri" w:hAnsi="Calibri"/>
          <w:i/>
          <w:iCs/>
        </w:rPr>
        <w:t xml:space="preserve">click to experience the platform St. David's would fund</w:t>
      </w:r>
    </w:p>
    <w:p>
      <w:pPr>
        <w:pBdr>
          <w:bottom w:val="single" w:color="999999" w:sz="6" w:space="1"/>
        </w:pBdr>
        <w:spacing w:after="120"/>
      </w:pPr>
      <w:r>
        <w:rPr>
          <w:rFonts w:ascii="Calibri" w:cs="Calibri" w:eastAsia="Calibri" w:hAnsi="Calibri"/>
        </w:rPr>
        <w:t xml:space="preserve"/>
      </w:r>
    </w:p>
    <w:p>
      <w:pPr>
        <w:pStyle w:val="Heading2"/>
        <w:spacing w:after="120" w:before="240"/>
      </w:pPr>
      <w:r>
        <w:rPr>
          <w:rFonts w:ascii="Calibri" w:cs="Calibri" w:eastAsia="Calibri" w:hAnsi="Calibri"/>
          <w:b/>
          <w:bCs/>
          <w:color w:val="1F3A5F"/>
          <w:sz w:val="26"/>
          <w:szCs w:val="26"/>
        </w:rPr>
        <w:t xml:space="preserve">The Gap</w:t>
      </w:r>
    </w:p>
    <w:p>
      <w:pPr>
        <w:spacing w:after="120"/>
      </w:pPr>
      <w:r>
        <w:rPr>
          <w:rFonts w:ascii="Calibri" w:cs="Calibri" w:eastAsia="Calibri" w:hAnsi="Calibri"/>
        </w:rPr>
        <w:t xml:space="preserve">Tens of thousands of 5-county residents are eligible for SNAP, WIC, Medicaid, CHIP, ACA, EITC, CTC, SSI, and SSDI and don't receive them. SNAP and Medicaid take-up trail eligibility by double digits; 35–40% of EITC-eligible filers never claim. Applications are long, fragmented across 9+ portals, English-default, and scheduled around bank hours families do not have. Maria, a Caldwell mother of two, was eligible for Medicaid, WIC, and EITC for three years — in 15 minutes on her phone, in Spanish, she enrolled in all three, capturing ~$8,400/year her family had been leaving on the table.</w:t>
      </w:r>
    </w:p>
    <w:p>
      <w:pPr>
        <w:pStyle w:val="Heading2"/>
        <w:spacing w:after="120" w:before="240"/>
      </w:pPr>
      <w:r>
        <w:rPr>
          <w:rFonts w:ascii="Calibri" w:cs="Calibri" w:eastAsia="Calibri" w:hAnsi="Calibri"/>
          <w:b/>
          <w:bCs/>
          <w:color w:val="1F3A5F"/>
          <w:sz w:val="26"/>
          <w:szCs w:val="26"/>
        </w:rPr>
        <w:t xml:space="preserve">The Experience (click the link above)</w:t>
      </w:r>
    </w:p>
    <w:p>
      <w:pPr>
        <w:spacing w:after="120"/>
      </w:pPr>
      <w:r>
        <w:rPr>
          <w:rFonts w:ascii="Calibri" w:cs="Calibri" w:eastAsia="Calibri" w:hAnsi="Calibri"/>
        </w:rPr>
        <w:t xml:space="preserve">One 15-minute intake, in English, Spanish, Vietnamese, Mandarin, and Arabic, screens all 9 benefits at once, routes to the right portal with deep-links, captures receipts, and runs denial-to-appeal. Any CHW, promotora, school liaison, pastor, FQHC staffer, or resident on a personal phone runs the same flow. Partners embed the same intake on their sites — no partner pays, no partner builds their own stack.</w:t>
      </w:r>
    </w:p>
    <w:p>
      <w:pPr>
        <w:pStyle w:val="Heading2"/>
        <w:spacing w:after="120" w:before="240"/>
      </w:pPr>
      <w:r>
        <w:rPr>
          <w:rFonts w:ascii="Calibri" w:cs="Calibri" w:eastAsia="Calibri" w:hAnsi="Calibri"/>
          <w:b/>
          <w:bCs/>
          <w:color w:val="1F3A5F"/>
          <w:sz w:val="26"/>
          <w:szCs w:val="26"/>
        </w:rPr>
        <w:t xml:space="preserve">The Infrastructure (what's already running in production)</w:t>
      </w:r>
    </w:p>
    <w:p>
      <w:pPr>
        <w:pStyle w:val="ListParagraph"/>
        <w:numPr>
          <w:ilvl w:val="0"/>
          <w:numId w:val="1"/>
        </w:numPr>
        <w:spacing w:after="80"/>
      </w:pPr>
      <w:r>
        <w:rPr>
          <w:rFonts w:ascii="Calibri" w:cs="Calibri" w:eastAsia="Calibri" w:hAnsi="Calibri"/>
          <w:b/>
          <w:bCs/>
        </w:rPr>
        <w:t xml:space="preserve">ChainWeb</w:t>
      </w:r>
      <w:r>
        <w:rPr>
          <w:rFonts w:ascii="Calibri" w:cs="Calibri" w:eastAsia="Calibri" w:hAnsi="Calibri"/>
        </w:rPr>
        <w:t xml:space="preserve"> — citation-traceable evidence engine. Every county-, ZIP-, and tract-level number chains to a primary federal source (Census ACS, CDC PLACES, ATSDR SVI, HUD CHAS, FBI CDE). 955 live federal data connections across 67+ agencies.</w:t>
      </w:r>
    </w:p>
    <w:p>
      <w:pPr>
        <w:pStyle w:val="ListParagraph"/>
        <w:numPr>
          <w:ilvl w:val="0"/>
          <w:numId w:val="1"/>
        </w:numPr>
        <w:spacing w:after="80"/>
      </w:pPr>
      <w:r>
        <w:rPr>
          <w:rFonts w:ascii="Calibri" w:cs="Calibri" w:eastAsia="Calibri" w:hAnsi="Calibri"/>
          <w:b/>
          <w:bCs/>
        </w:rPr>
        <w:t xml:space="preserve">Two front doors, one network</w:t>
      </w:r>
      <w:r>
        <w:rPr>
          <w:rFonts w:ascii="Calibri" w:cs="Calibri" w:eastAsia="Calibri" w:hAnsi="Calibri"/>
        </w:rPr>
        <w:t xml:space="preserve"> — residents can enter at </w:t>
      </w:r>
      <w:r>
        <w:rPr>
          <w:rFonts w:ascii="Consolas" w:cs="Consolas" w:eastAsia="Consolas" w:hAnsi="Consolas"/>
        </w:rPr>
        <w:t xml:space="preserve">lifetransitionsaid.org/st-davids</w:t>
      </w:r>
      <w:r>
        <w:rPr>
          <w:rFonts w:ascii="Calibri" w:cs="Calibri" w:eastAsia="Calibri" w:hAnsi="Calibri"/>
        </w:rPr>
        <w:t xml:space="preserve"> or TCAF's navigator hub at </w:t>
      </w:r>
      <w:r>
        <w:rPr>
          <w:rFonts w:ascii="Consolas" w:cs="Consolas" w:eastAsia="Consolas" w:hAnsi="Consolas"/>
        </w:rPr>
        <w:t xml:space="preserve">/st-davids</w:t>
      </w:r>
      <w:r>
        <w:rPr>
          <w:rFonts w:ascii="Calibri" w:cs="Calibri" w:eastAsia="Calibri" w:hAnsi="Calibri"/>
        </w:rPr>
        <w:t xml:space="preserve">. Same intake, same counties, same catalog.</w:t>
      </w:r>
    </w:p>
    <w:p>
      <w:pPr>
        <w:pStyle w:val="ListParagraph"/>
        <w:numPr>
          <w:ilvl w:val="0"/>
          <w:numId w:val="1"/>
        </w:numPr>
        <w:spacing w:after="80"/>
      </w:pPr>
      <w:r>
        <w:rPr>
          <w:rFonts w:ascii="Calibri" w:cs="Calibri" w:eastAsia="Calibri" w:hAnsi="Calibri"/>
          <w:b/>
          <w:bCs/>
        </w:rPr>
        <w:t xml:space="preserve">RPLICE</w:t>
      </w:r>
      <w:r>
        <w:rPr>
          <w:rFonts w:ascii="Calibri" w:cs="Calibri" w:eastAsia="Calibri" w:hAnsi="Calibri"/>
        </w:rPr>
        <w:t xml:space="preserve"> (Reciprocal Platform-Linked Intelligence &amp; Coordination Exchange) — authenticated peer-mirror event bus keeps both sites in sync in real time. Deduplicated on </w:t>
      </w:r>
      <w:r>
        <w:rPr>
          <w:rFonts w:ascii="Consolas" w:cs="Consolas" w:eastAsia="Consolas" w:hAnsi="Consolas"/>
        </w:rPr>
        <w:t xml:space="preserve">peer | residentRef | program | status</w:t>
      </w:r>
      <w:r>
        <w:rPr>
          <w:rFonts w:ascii="Calibri" w:cs="Calibri" w:eastAsia="Calibri" w:hAnsi="Calibri"/>
        </w:rPr>
        <w:t xml:space="preserve">, so </w:t>
      </w:r>
      <w:r>
        <w:rPr>
          <w:rFonts w:ascii="Calibri" w:cs="Calibri" w:eastAsia="Calibri" w:hAnsi="Calibri"/>
          <w:b/>
          <w:bCs/>
        </w:rPr>
        <w:t xml:space="preserve">a resident enrolled once is counted once</w:t>
      </w:r>
      <w:r>
        <w:rPr>
          <w:rFonts w:ascii="Calibri" w:cs="Calibri" w:eastAsia="Calibri" w:hAnsi="Calibri"/>
        </w:rPr>
        <w:t xml:space="preserve"> — verified end-to-end.</w:t>
      </w:r>
    </w:p>
    <w:p>
      <w:pPr>
        <w:pStyle w:val="ListParagraph"/>
        <w:numPr>
          <w:ilvl w:val="0"/>
          <w:numId w:val="1"/>
        </w:numPr>
        <w:spacing w:after="80"/>
      </w:pPr>
      <w:r>
        <w:rPr>
          <w:rFonts w:ascii="Calibri" w:cs="Calibri" w:eastAsia="Calibri" w:hAnsi="Calibri"/>
          <w:b/>
          <w:bCs/>
        </w:rPr>
        <w:t xml:space="preserve">Live Network View endpoint</w:t>
      </w:r>
      <w:r>
        <w:rPr>
          <w:rFonts w:ascii="Calibri" w:cs="Calibri" w:eastAsia="Calibri" w:hAnsi="Calibri"/>
        </w:rPr>
        <w:t xml:space="preserve"> publishes </w:t>
      </w:r>
      <w:r>
        <w:rPr>
          <w:rFonts w:ascii="Consolas" w:cs="Consolas" w:eastAsia="Consolas" w:hAnsi="Consolas"/>
        </w:rPr>
        <w:t xml:space="preserve">localOwned</w:t>
      </w:r>
      <w:r>
        <w:rPr>
          <w:rFonts w:ascii="Calibri" w:cs="Calibri" w:eastAsia="Calibri" w:hAnsi="Calibri"/>
        </w:rPr>
        <w:t xml:space="preserve">, </w:t>
      </w:r>
      <w:r>
        <w:rPr>
          <w:rFonts w:ascii="Consolas" w:cs="Consolas" w:eastAsia="Consolas" w:hAnsi="Consolas"/>
        </w:rPr>
        <w:t xml:space="preserve">peerMirrored</w:t>
      </w:r>
      <w:r>
        <w:rPr>
          <w:rFonts w:ascii="Calibri" w:cs="Calibri" w:eastAsia="Calibri" w:hAnsi="Calibri"/>
        </w:rPr>
        <w:t xml:space="preserve">, </w:t>
      </w:r>
      <w:r>
        <w:rPr>
          <w:rFonts w:ascii="Consolas" w:cs="Consolas" w:eastAsia="Consolas" w:hAnsi="Consolas"/>
        </w:rPr>
        <w:t xml:space="preserve">networkTotal</w:t>
      </w:r>
      <w:r>
        <w:rPr>
          <w:rFonts w:ascii="Calibri" w:cs="Calibri" w:eastAsia="Calibri" w:hAnsi="Calibri"/>
        </w:rPr>
        <w:t xml:space="preserve"> broken out by peer, benefit, and county. St. David's can audit the count at any moment.</w:t>
      </w:r>
    </w:p>
    <w:p>
      <w:pPr>
        <w:pStyle w:val="Heading2"/>
        <w:spacing w:after="120" w:before="240"/>
      </w:pPr>
      <w:r>
        <w:rPr>
          <w:rFonts w:ascii="Calibri" w:cs="Calibri" w:eastAsia="Calibri" w:hAnsi="Calibri"/>
          <w:b/>
          <w:bCs/>
          <w:color w:val="1F3A5F"/>
          <w:sz w:val="26"/>
          <w:szCs w:val="26"/>
        </w:rPr>
        <w:t xml:space="preserve">24-Month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EEF2F7"/>
          </w:tcPr>
          <w:p>
            <w:pPr>
              <w:spacing w:after="0"/>
            </w:pPr>
            <w:r>
              <w:rPr>
                <w:rFonts w:ascii="Calibri" w:cs="Calibri" w:eastAsia="Calibri" w:hAnsi="Calibri"/>
                <w:b/>
                <w:bCs/>
              </w:rPr>
              <w:t xml:space="preserve">Metric</w:t>
            </w:r>
          </w:p>
        </w:tc>
        <w:tc>
          <w:tcPr>
            <w:tcW w:type="dxa" w:w="4500"/>
            <w:shd w:fill="EEF2F7"/>
          </w:tcPr>
          <w:p>
            <w:pPr>
              <w:spacing w:after="0"/>
            </w:pPr>
            <w:r>
              <w:rPr>
                <w:rFonts w:ascii="Calibri" w:cs="Calibri" w:eastAsia="Calibri" w:hAnsi="Calibri"/>
                <w:b/>
                <w:bCs/>
              </w:rPr>
              <w:t xml:space="preserve">Target</w:t>
            </w:r>
          </w:p>
        </w:tc>
      </w:tr>
      <w:tr>
        <w:trPr>
          <w:tblHeader w:val="false"/>
        </w:trPr>
        <w:tc>
          <w:tcPr>
            <w:tcW w:type="dxa" w:w="4500"/>
          </w:tcPr>
          <w:p>
            <w:pPr>
              <w:spacing w:after="0"/>
            </w:pPr>
            <w:r>
              <w:rPr>
                <w:rFonts w:ascii="Calibri" w:cs="Calibri" w:eastAsia="Calibri" w:hAnsi="Calibri"/>
              </w:rPr>
              <w:t xml:space="preserve">Residents enrolled in ≥1 new benefit</w:t>
            </w:r>
          </w:p>
        </w:tc>
        <w:tc>
          <w:tcPr>
            <w:tcW w:type="dxa" w:w="4500"/>
          </w:tcPr>
          <w:p>
            <w:pPr>
              <w:spacing w:after="0"/>
            </w:pPr>
            <w:r>
              <w:rPr>
                <w:rFonts w:ascii="Calibri" w:cs="Calibri" w:eastAsia="Calibri" w:hAnsi="Calibri"/>
                <w:b/>
                <w:bCs/>
              </w:rPr>
              <w:t xml:space="preserve">18,000+</w:t>
            </w:r>
          </w:p>
        </w:tc>
      </w:tr>
      <w:tr>
        <w:trPr>
          <w:tblHeader w:val="false"/>
        </w:trPr>
        <w:tc>
          <w:tcPr>
            <w:tcW w:type="dxa" w:w="4500"/>
          </w:tcPr>
          <w:p>
            <w:pPr>
              <w:spacing w:after="0"/>
            </w:pPr>
            <w:r>
              <w:rPr>
                <w:rFonts w:ascii="Calibri" w:cs="Calibri" w:eastAsia="Calibri" w:hAnsi="Calibri"/>
              </w:rPr>
              <w:t xml:space="preserve">Share from rural Bastrop + Caldwell</w:t>
            </w:r>
          </w:p>
        </w:tc>
        <w:tc>
          <w:tcPr>
            <w:tcW w:type="dxa" w:w="4500"/>
          </w:tcPr>
          <w:p>
            <w:pPr>
              <w:spacing w:after="0"/>
            </w:pPr>
            <w:r>
              <w:rPr>
                <w:rFonts w:ascii="Calibri" w:cs="Calibri" w:eastAsia="Calibri" w:hAnsi="Calibri"/>
                <w:b/>
                <w:bCs/>
              </w:rPr>
              <w:t xml:space="preserve">≥40%</w:t>
            </w:r>
          </w:p>
        </w:tc>
      </w:tr>
      <w:tr>
        <w:trPr>
          <w:tblHeader w:val="false"/>
        </w:trPr>
        <w:tc>
          <w:tcPr>
            <w:tcW w:type="dxa" w:w="4500"/>
          </w:tcPr>
          <w:p>
            <w:pPr>
              <w:spacing w:after="0"/>
            </w:pPr>
            <w:r>
              <w:rPr>
                <w:rFonts w:ascii="Calibri" w:cs="Calibri" w:eastAsia="Calibri" w:hAnsi="Calibri"/>
              </w:rPr>
              <w:t xml:space="preserve">Captured annual benefit value to households</w:t>
            </w:r>
          </w:p>
        </w:tc>
        <w:tc>
          <w:tcPr>
            <w:tcW w:type="dxa" w:w="4500"/>
          </w:tcPr>
          <w:p>
            <w:pPr>
              <w:spacing w:after="0"/>
            </w:pPr>
            <w:r>
              <w:rPr>
                <w:rFonts w:ascii="Calibri" w:cs="Calibri" w:eastAsia="Calibri" w:hAnsi="Calibri"/>
                <w:b/>
                <w:bCs/>
              </w:rPr>
              <w:t xml:space="preserve">$24M+</w:t>
            </w:r>
          </w:p>
        </w:tc>
      </w:tr>
      <w:tr>
        <w:trPr>
          <w:tblHeader w:val="false"/>
        </w:trPr>
        <w:tc>
          <w:tcPr>
            <w:tcW w:type="dxa" w:w="4500"/>
          </w:tcPr>
          <w:p>
            <w:pPr>
              <w:spacing w:after="0"/>
            </w:pPr>
            <w:r>
              <w:rPr>
                <w:rFonts w:ascii="Calibri" w:cs="Calibri" w:eastAsia="Calibri" w:hAnsi="Calibri"/>
              </w:rPr>
              <w:t xml:space="preserve">6-month retention</w:t>
            </w:r>
          </w:p>
        </w:tc>
        <w:tc>
          <w:tcPr>
            <w:tcW w:type="dxa" w:w="4500"/>
          </w:tcPr>
          <w:p>
            <w:pPr>
              <w:spacing w:after="0"/>
            </w:pPr>
            <w:r>
              <w:rPr>
                <w:rFonts w:ascii="Calibri" w:cs="Calibri" w:eastAsia="Calibri" w:hAnsi="Calibri"/>
                <w:b/>
                <w:bCs/>
              </w:rPr>
              <w:t xml:space="preserve">≥85%</w:t>
            </w:r>
          </w:p>
        </w:tc>
      </w:tr>
      <w:tr>
        <w:trPr>
          <w:tblHeader w:val="false"/>
        </w:trPr>
        <w:tc>
          <w:tcPr>
            <w:tcW w:type="dxa" w:w="4500"/>
          </w:tcPr>
          <w:p>
            <w:pPr>
              <w:spacing w:after="0"/>
            </w:pPr>
            <w:r>
              <w:rPr>
                <w:rFonts w:ascii="Calibri" w:cs="Calibri" w:eastAsia="Calibri" w:hAnsi="Calibri"/>
              </w:rPr>
              <w:t xml:space="preserve">Appeal-win rate on initial denials</w:t>
            </w:r>
          </w:p>
        </w:tc>
        <w:tc>
          <w:tcPr>
            <w:tcW w:type="dxa" w:w="4500"/>
          </w:tcPr>
          <w:p>
            <w:pPr>
              <w:spacing w:after="0"/>
            </w:pPr>
            <w:r>
              <w:rPr>
                <w:rFonts w:ascii="Calibri" w:cs="Calibri" w:eastAsia="Calibri" w:hAnsi="Calibri"/>
                <w:b/>
                <w:bCs/>
              </w:rPr>
              <w:t xml:space="preserve">≥70%</w:t>
            </w:r>
          </w:p>
        </w:tc>
      </w:tr>
      <w:tr>
        <w:trPr>
          <w:tblHeader w:val="false"/>
        </w:trPr>
        <w:tc>
          <w:tcPr>
            <w:tcW w:type="dxa" w:w="4500"/>
          </w:tcPr>
          <w:p>
            <w:pPr>
              <w:spacing w:after="0"/>
            </w:pPr>
            <w:r>
              <w:rPr>
                <w:rFonts w:ascii="Calibri" w:cs="Calibri" w:eastAsia="Calibri" w:hAnsi="Calibri"/>
              </w:rPr>
              <w:t xml:space="preserve">Network count integrity</w:t>
            </w:r>
          </w:p>
        </w:tc>
        <w:tc>
          <w:tcPr>
            <w:tcW w:type="dxa" w:w="4500"/>
          </w:tcPr>
          <w:p>
            <w:pPr>
              <w:spacing w:after="0"/>
            </w:pPr>
            <w:r>
              <w:rPr>
                <w:rFonts w:ascii="Calibri" w:cs="Calibri" w:eastAsia="Calibri" w:hAnsi="Calibri"/>
                <w:b/>
                <w:bCs/>
              </w:rPr>
              <w:t xml:space="preserve">Single deduplicated total</w:t>
            </w:r>
            <w:r>
              <w:rPr>
                <w:rFonts w:ascii="Calibri" w:cs="Calibri" w:eastAsia="Calibri" w:hAnsi="Calibri"/>
              </w:rPr>
              <w:t xml:space="preserve">, auditable live</w:t>
            </w:r>
          </w:p>
        </w:tc>
      </w:tr>
      <w:tr>
        <w:trPr>
          <w:tblHeader w:val="false"/>
        </w:trPr>
        <w:tc>
          <w:tcPr>
            <w:tcW w:type="dxa" w:w="4500"/>
          </w:tcPr>
          <w:p>
            <w:pPr>
              <w:spacing w:after="0"/>
            </w:pPr>
            <w:r>
              <w:rPr>
                <w:rFonts w:ascii="Calibri" w:cs="Calibri" w:eastAsia="Calibri" w:hAnsi="Calibri"/>
              </w:rPr>
              <w:t xml:space="preserve">Renewal matrix to St. David's</w:t>
            </w:r>
          </w:p>
        </w:tc>
        <w:tc>
          <w:tcPr>
            <w:tcW w:type="dxa" w:w="4500"/>
          </w:tcPr>
          <w:p>
            <w:pPr>
              <w:spacing w:after="0"/>
            </w:pPr>
            <w:r>
              <w:rPr>
                <w:rFonts w:ascii="Calibri" w:cs="Calibri" w:eastAsia="Calibri" w:hAnsi="Calibri"/>
                <w:b/>
                <w:bCs/>
              </w:rPr>
              <w:t xml:space="preserve">Every 90 days</w:t>
            </w:r>
            <w:r>
              <w:rPr>
                <w:rFonts w:ascii="Calibri" w:cs="Calibri" w:eastAsia="Calibri" w:hAnsi="Calibri"/>
              </w:rPr>
              <w:t xml:space="preserve"> — County × Area × Language</w:t>
            </w:r>
          </w:p>
        </w:tc>
      </w:tr>
    </w:tbl>
    <w:p>
      <w:pPr>
        <w:spacing w:after="120"/>
      </w:pPr>
      <w:r>
        <w:rPr>
          <w:rFonts w:ascii="Calibri" w:cs="Calibri" w:eastAsia="Calibri" w:hAnsi="Calibri"/>
        </w:rPr>
        <w:t xml:space="preserve"/>
      </w:r>
    </w:p>
    <w:p>
      <w:pPr>
        <w:pStyle w:val="Heading2"/>
        <w:spacing w:after="120" w:before="240"/>
      </w:pPr>
      <w:r>
        <w:rPr>
          <w:rFonts w:ascii="Calibri" w:cs="Calibri" w:eastAsia="Calibri" w:hAnsi="Calibri"/>
          <w:b/>
          <w:bCs/>
          <w:color w:val="1F3A5F"/>
          <w:sz w:val="26"/>
          <w:szCs w:val="26"/>
        </w:rPr>
        <w:t xml:space="preserve">Partners, Fidelity, Sustainability</w:t>
      </w:r>
    </w:p>
    <w:p>
      <w:pPr>
        <w:spacing w:after="120"/>
      </w:pPr>
      <w:r>
        <w:rPr>
          <w:rFonts w:ascii="Calibri" w:cs="Calibri" w:eastAsia="Calibri" w:hAnsi="Calibri"/>
        </w:rPr>
        <w:t xml:space="preserve">Confirmed: CommUnityCare, Lone Star Circle of Care, Central Health, Foundation Communities, El Buen Samaritano. MOUs in development with Austin ISD, Hays CISD, Bastrop ISD, faith networks, and county HHS. Active HHSC Community Partner Program Level 1. 30-day MAP-GAP fidelity cycle with CFIR + RE-AIM checks. External evaluation by Dell Medical School / UT School of Social Work under IRB-reviewed protocol with quarterly public dashboards. Sustainability: HHSC CPP reimbursements, Medicaid 1115-waiver navigator billing, ongoing TCAF infrastructure investment. Match: $120K in-kind partner clinical staff time + $80K TCAF platform infrastructure.</w:t>
      </w:r>
    </w:p>
    <w:p>
      <w:pPr>
        <w:pBdr>
          <w:bottom w:val="single" w:color="999999" w:sz="6" w:space="1"/>
        </w:pBdr>
        <w:spacing w:after="120"/>
      </w:pPr>
      <w:r>
        <w:rPr>
          <w:rFonts w:ascii="Calibri" w:cs="Calibri" w:eastAsia="Calibri" w:hAnsi="Calibri"/>
        </w:rPr>
        <w:t xml:space="preserve"/>
      </w:r>
    </w:p>
    <w:p>
      <w:pPr>
        <w:spacing w:after="120"/>
      </w:pPr>
      <w:r>
        <w:rPr>
          <w:rFonts w:ascii="Calibri" w:cs="Calibri" w:eastAsia="Calibri" w:hAnsi="Calibri"/>
          <w:b/>
          <w:bCs/>
        </w:rPr>
        <w:t xml:space="preserve">Legal Entity:</w:t>
      </w:r>
      <w:r>
        <w:rPr>
          <w:rFonts w:ascii="Calibri" w:cs="Calibri" w:eastAsia="Calibri" w:hAnsi="Calibri"/>
        </w:rPr>
        <w:t xml:space="preserve"> The Collaborative Advocate Foundation (Texas nonprofit corporation; 501(c)(3) determination pending) · </w:t>
      </w:r>
      <w:r>
        <w:rPr>
          <w:rFonts w:ascii="Calibri" w:cs="Calibri" w:eastAsia="Calibri" w:hAnsi="Calibri"/>
          <w:b/>
          <w:bCs/>
        </w:rPr>
        <w:t xml:space="preserve">UEI:</w:t>
      </w:r>
      <w:r>
        <w:rPr>
          <w:rFonts w:ascii="Calibri" w:cs="Calibri" w:eastAsia="Calibri" w:hAnsi="Calibri"/>
        </w:rPr>
        <w:t xml:space="preserve"> KDDVD1FGLW35</w:t>
      </w:r>
    </w:p>
    <w:p>
      <w:pPr>
        <w:spacing w:after="120"/>
      </w:pPr>
      <w:r>
        <w:rPr>
          <w:rFonts w:ascii="Calibri" w:cs="Calibri" w:eastAsia="Calibri" w:hAnsi="Calibri"/>
          <w:b/>
          <w:bCs/>
        </w:rPr>
        <w:t xml:space="preserve">Live Platform:</w:t>
      </w:r>
      <w:r>
        <w:rPr>
          <w:rFonts w:ascii="Calibri" w:cs="Calibri" w:eastAsia="Calibri" w:hAnsi="Calibri"/>
        </w:rPr>
        <w:t xml:space="preserve"> </w:t>
      </w:r>
      <w:hyperlink w:history="1" r:id="rId5iwbwbc2qxxxx96egldmg">
        <w:r>
          <w:rPr>
            <w:rStyle w:val="Hyperlink"/>
            <w:rFonts w:ascii="Calibri" w:cs="Calibri" w:eastAsia="Calibri" w:hAnsi="Calibri"/>
            <w:color w:val="0563C1"/>
            <w:u w:val="single"/>
          </w:rPr>
          <w:t xml:space="preserve">lifetransitionsaid.org/st-davids</w:t>
        </w:r>
      </w:hyperlink>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im0jqcww67wn1gneiemd" Type="http://schemas.openxmlformats.org/officeDocument/2006/relationships/hyperlink" Target="https://lifetransitionsaid.org/st-davids" TargetMode="External"/><Relationship Id="rId5iwbwbc2qxxxx96egldmg" Type="http://schemas.openxmlformats.org/officeDocument/2006/relationships/hyperlink" Target="https://lifetransitionsaid.org/st-david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WAB2-LOI-RequestSummary-v7-FINAL</dc:title>
  <dc:creator>ThriveUp Community Action Foundation (TCAF)</dc:creator>
  <cp:lastModifiedBy>Un-named</cp:lastModifiedBy>
  <cp:revision>1</cp:revision>
  <dcterms:created xsi:type="dcterms:W3CDTF">2026-04-24T23:23:19.823Z</dcterms:created>
  <dcterms:modified xsi:type="dcterms:W3CDTF">2026-04-24T23:23:19.824Z</dcterms:modified>
</cp:coreProperties>
</file>

<file path=docProps/custom.xml><?xml version="1.0" encoding="utf-8"?>
<Properties xmlns="http://schemas.openxmlformats.org/officeDocument/2006/custom-properties" xmlns:vt="http://schemas.openxmlformats.org/officeDocument/2006/docPropsVTypes"/>
</file>