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34"/>
          <w:szCs w:val="34"/>
        </w:rPr>
        <w:t xml:space="preserve">TCAF Benefits Enrollment Collaborative</w:t>
      </w:r>
    </w:p>
    <w:p>
      <w:pPr>
        <w:spacing w:after="300"/>
        <w:jc w:val="center"/>
      </w:pPr>
      <w:r>
        <w:rPr>
          <w:i/>
          <w:iCs/>
          <w:sz w:val="24"/>
          <w:szCs w:val="24"/>
        </w:rPr>
        <w:t xml:space="preserve">Evidence-Grounded, Community-Driven, 5-County Regional Infrastructure</w:t>
      </w:r>
    </w:p>
    <w:p>
      <w:pPr>
        <w:spacing w:after="80"/>
      </w:pPr>
      <w:r>
        <w:rPr>
          <w:b/>
          <w:bCs/>
          <w:sz w:val="22"/>
          <w:szCs w:val="22"/>
        </w:rPr>
        <w:t xml:space="preserve">Request Title: </w:t>
      </w:r>
      <w:r>
        <w:rPr>
          <w:sz w:val="22"/>
          <w:szCs w:val="22"/>
        </w:rPr>
        <w:t xml:space="preserve">TCAF Benefits Enrollment Collaborative — Closing the Eligibility-to-Enrollment Gap Across the 5-County Region</w:t>
      </w:r>
    </w:p>
    <w:p>
      <w:pPr>
        <w:spacing w:after="80"/>
      </w:pPr>
      <w:r>
        <w:rPr>
          <w:b/>
          <w:bCs/>
          <w:sz w:val="22"/>
          <w:szCs w:val="22"/>
        </w:rPr>
        <w:t xml:space="preserve">Geographic Impact: </w:t>
      </w:r>
      <w:r>
        <w:rPr>
          <w:sz w:val="22"/>
          <w:szCs w:val="22"/>
        </w:rPr>
        <w:t xml:space="preserve">Regional (Travis, Williamson, Hays, Bastrop, Caldwell)</w:t>
      </w:r>
    </w:p>
    <w:p>
      <w:pPr>
        <w:spacing w:after="80"/>
      </w:pPr>
      <w:r>
        <w:rPr>
          <w:b/>
          <w:bCs/>
          <w:sz w:val="22"/>
          <w:szCs w:val="22"/>
        </w:rPr>
        <w:t xml:space="preserve">Primary County: </w:t>
      </w:r>
      <w:r>
        <w:rPr>
          <w:sz w:val="22"/>
          <w:szCs w:val="22"/>
        </w:rPr>
        <w:t xml:space="preserve">Travis</w:t>
      </w:r>
    </w:p>
    <w:p>
      <w:pPr>
        <w:spacing w:after="80"/>
      </w:pPr>
      <w:r>
        <w:rPr>
          <w:b/>
          <w:bCs/>
          <w:sz w:val="22"/>
          <w:szCs w:val="22"/>
        </w:rPr>
        <w:t xml:space="preserve">Amount Requested: </w:t>
      </w:r>
      <w:r>
        <w:rPr>
          <w:sz w:val="22"/>
          <w:szCs w:val="22"/>
        </w:rPr>
        <w:t xml:space="preserve">$[XXX,XXX] over 24 months</w:t>
      </w:r>
    </w:p>
    <w:p>
      <w:pPr>
        <w:spacing w:after="80"/>
      </w:pPr>
      <w:r>
        <w:rPr>
          <w:b/>
          <w:bCs/>
          <w:sz w:val="22"/>
          <w:szCs w:val="22"/>
        </w:rPr>
        <w:t xml:space="preserve">Status: </w:t>
      </w:r>
      <w:r>
        <w:rPr>
          <w:sz w:val="22"/>
          <w:szCs w:val="22"/>
        </w:rPr>
        <w:t xml:space="preserve">FINAL for GivingData submission — April 27, 2026, 5:00 PM CT</w:t>
      </w:r>
    </w:p>
    <w:p>
      <w:pPr>
        <w:pBdr>
          <w:top w:val="single" w:color="1F4E79" w:sz="6"/>
        </w:pBdr>
        <w:spacing w:after="120" w:before="240"/>
      </w:pPr>
      <w:r>
        <w:rPr>
          <w:sz w:val="22"/>
          <w:szCs w:val="22"/>
        </w:rPr>
        <w:t xml:space="preserve"/>
      </w:r>
    </w:p>
    <w:p>
      <w:pPr>
        <w:spacing w:after="120" w:before="240"/>
      </w:pPr>
      <w:r>
        <w:rPr>
          <w:b/>
          <w:bCs/>
          <w:color w:val="1F4E79"/>
          <w:sz w:val="24"/>
          <w:szCs w:val="24"/>
        </w:rPr>
        <w:t xml:space="preserve">The Problem We Solve</w:t>
      </w:r>
    </w:p>
    <w:p>
      <w:pPr>
        <w:spacing w:after="180" w:line="300"/>
        <w:jc w:val="both"/>
      </w:pPr>
      <w:r>
        <w:rPr>
          <w:sz w:val="22"/>
          <w:szCs w:val="22"/>
        </w:rPr>
        <w:t xml:space="preserve">Maria, a Caldwell County mother of two, was eligible for Medicaid, WIC, and the Earned Income Tax Credit for three years and received none of them. In 15 minutes on her phone, in Spanish, she enrolled in all three — capturing roughly $8,400 in annual benefits her family had been leaving on the table. Her story is the rule, not the exception.</w:t>
      </w:r>
    </w:p>
    <w:p>
      <w:pPr>
        <w:spacing w:after="180" w:line="300"/>
        <w:jc w:val="both"/>
      </w:pPr>
      <w:r>
        <w:rPr>
          <w:sz w:val="22"/>
          <w:szCs w:val="22"/>
        </w:rPr>
        <w:t xml:space="preserve">Across the five-county region, </w:t>
      </w:r>
      <w:r>
        <w:rPr>
          <w:b/>
          <w:bCs/>
          <w:sz w:val="22"/>
          <w:szCs w:val="22"/>
        </w:rPr>
        <w:t xml:space="preserve">tens of thousands</w:t>
      </w:r>
      <w:r>
        <w:rPr>
          <w:sz w:val="22"/>
          <w:szCs w:val="22"/>
        </w:rPr>
        <w:t xml:space="preserve"> of residents are eligible for SNAP, WIC, Medicaid, CHIP, ACA Marketplace subsidies, EITC, the Child Tax Credit, SSI, and SSDI but do not receive them. SNAP and Medicaid take-up trail eligibility by </w:t>
      </w:r>
      <w:r>
        <w:rPr>
          <w:b/>
          <w:bCs/>
          <w:sz w:val="22"/>
          <w:szCs w:val="22"/>
        </w:rPr>
        <w:t xml:space="preserve">double digits regionally</w:t>
      </w:r>
      <w:r>
        <w:rPr>
          <w:sz w:val="22"/>
          <w:szCs w:val="22"/>
        </w:rPr>
        <w:t xml:space="preserve">; </w:t>
      </w:r>
      <w:r>
        <w:rPr>
          <w:b/>
          <w:bCs/>
          <w:sz w:val="22"/>
          <w:szCs w:val="22"/>
        </w:rPr>
        <w:t xml:space="preserve">35–40% of EITC-eligible filers</w:t>
      </w:r>
      <w:r>
        <w:rPr>
          <w:sz w:val="22"/>
          <w:szCs w:val="22"/>
        </w:rPr>
        <w:t xml:space="preserve"> never claim. Uninsured residents who qualify for Medicaid, CHIP, or ACA subsidies remain without coverage — driving avoidable ED visits and crowding St. David's safety-net partners. The applications are long, fragmented across 9+ portals, English-default, and scheduled around bank hours families do not have.</w:t>
      </w:r>
    </w:p>
    <w:p>
      <w:pPr>
        <w:spacing w:after="120" w:before="240"/>
      </w:pPr>
      <w:r>
        <w:rPr>
          <w:b/>
          <w:bCs/>
          <w:color w:val="1F4E79"/>
          <w:sz w:val="24"/>
          <w:szCs w:val="24"/>
        </w:rPr>
        <w:t xml:space="preserve">Our Solution</w:t>
      </w:r>
    </w:p>
    <w:p>
      <w:pPr>
        <w:spacing w:after="180" w:line="300"/>
        <w:jc w:val="both"/>
      </w:pPr>
      <w:r>
        <w:rPr>
          <w:sz w:val="22"/>
          <w:szCs w:val="22"/>
        </w:rPr>
        <w:t xml:space="preserve">The Collaborative Advocate Foundation (TCAF) closes the gap by building </w:t>
      </w:r>
      <w:r>
        <w:rPr>
          <w:b/>
          <w:bCs/>
          <w:sz w:val="22"/>
          <w:szCs w:val="22"/>
        </w:rPr>
        <w:t xml:space="preserve">shared infrastructure used by every partner in the region</w:t>
      </w:r>
      <w:r>
        <w:rPr>
          <w:sz w:val="22"/>
          <w:szCs w:val="22"/>
        </w:rPr>
        <w:t xml:space="preserve">. A single 15-minute intake — in </w:t>
      </w:r>
      <w:r>
        <w:rPr>
          <w:b/>
          <w:bCs/>
          <w:sz w:val="22"/>
          <w:szCs w:val="22"/>
        </w:rPr>
        <w:t xml:space="preserve">English, Spanish, Vietnamese, Mandarin, and Arabic</w:t>
      </w:r>
      <w:r>
        <w:rPr>
          <w:sz w:val="22"/>
          <w:szCs w:val="22"/>
        </w:rPr>
        <w:t xml:space="preserve"> — screens for all 9 benefits at once and routes each applicant to the right portal, with </w:t>
      </w:r>
      <w:r>
        <w:rPr>
          <w:b/>
          <w:bCs/>
          <w:sz w:val="22"/>
          <w:szCs w:val="22"/>
        </w:rPr>
        <w:t xml:space="preserve">direct deep-links, receipt capture, and denial-to-appeal workflow</w:t>
      </w:r>
      <w:r>
        <w:rPr>
          <w:sz w:val="22"/>
          <w:szCs w:val="22"/>
        </w:rPr>
        <w:t xml:space="preserve"> built in. Any CHW, navigator, promotora, school liaison, pastor, FQHC front-desk staffer, or resident on a personal phone runs the same flow.</w:t>
      </w:r>
    </w:p>
    <w:p>
      <w:pPr>
        <w:spacing w:after="180" w:line="300"/>
        <w:jc w:val="both"/>
      </w:pPr>
      <w:r>
        <w:rPr>
          <w:sz w:val="22"/>
          <w:szCs w:val="22"/>
        </w:rPr>
        <w:t xml:space="preserve">Our analysis platform draws on </w:t>
      </w:r>
      <w:r>
        <w:rPr>
          <w:b/>
          <w:bCs/>
          <w:sz w:val="22"/>
          <w:szCs w:val="22"/>
        </w:rPr>
        <w:t xml:space="preserve">955 live federal data connections across 67+ agencies</w:t>
      </w:r>
      <w:r>
        <w:rPr>
          <w:sz w:val="22"/>
          <w:szCs w:val="22"/>
        </w:rPr>
        <w:t xml:space="preserve">, rendered as plain-English profiles down to the ZIP and Census-tract level. County profiles differ — rural Bastrop and Caldwell show transportation and broadband gaps; Hays and Williamson mix fast-growing suburbs with deep-need pockets; Travis holds the largest absolute unenrolled count plus eligibility for the </w:t>
      </w:r>
      <w:r>
        <w:rPr>
          <w:b/>
          <w:bCs/>
          <w:sz w:val="22"/>
          <w:szCs w:val="22"/>
        </w:rPr>
        <w:t xml:space="preserve">Medical Access Program (MAP)</w:t>
      </w:r>
      <w:r>
        <w:rPr>
          <w:sz w:val="22"/>
          <w:szCs w:val="22"/>
        </w:rPr>
        <w:t xml:space="preserve">, which we surface only for Travis residents. The resident front door is </w:t>
      </w:r>
      <w:r>
        <w:rPr>
          <w:b/>
          <w:bCs/>
          <w:sz w:val="22"/>
          <w:szCs w:val="22"/>
        </w:rPr>
        <w:t xml:space="preserve">Life Transitions</w:t>
      </w:r>
      <w:r>
        <w:rPr>
          <w:sz w:val="22"/>
          <w:szCs w:val="22"/>
        </w:rPr>
        <w:t xml:space="preserve"> (lifetransitionsaid.org), a TCAF program; partner sites embed the same intake.</w:t>
      </w:r>
    </w:p>
    <w:p>
      <w:pPr>
        <w:spacing w:after="120" w:before="240"/>
      </w:pPr>
      <w:r>
        <w:rPr>
          <w:b/>
          <w:bCs/>
          <w:color w:val="1F4E79"/>
          <w:sz w:val="24"/>
          <w:szCs w:val="24"/>
        </w:rPr>
        <w:t xml:space="preserve">Outcome Targets (24 Months)</w:t>
      </w:r>
    </w:p>
    <w:p>
      <w:pPr>
        <w:spacing w:after="80" w:line="300"/>
        <w:jc w:val="both"/>
      </w:pPr>
      <w:r>
        <w:rPr>
          <w:sz w:val="22"/>
          <w:szCs w:val="22"/>
        </w:rPr>
        <w:t xml:space="preserve">• </w:t>
      </w:r>
      <w:r>
        <w:rPr>
          <w:b/>
          <w:bCs/>
          <w:sz w:val="22"/>
          <w:szCs w:val="22"/>
        </w:rPr>
        <w:t xml:space="preserve">18,000+ residents</w:t>
      </w:r>
      <w:r>
        <w:rPr>
          <w:sz w:val="22"/>
          <w:szCs w:val="22"/>
        </w:rPr>
        <w:t xml:space="preserve"> enrolled in at least one new benefit, with </w:t>
      </w:r>
      <w:r>
        <w:rPr>
          <w:b/>
          <w:bCs/>
          <w:sz w:val="22"/>
          <w:szCs w:val="22"/>
        </w:rPr>
        <w:t xml:space="preserve">≥40% of yield from rural Bastrop and Caldwell</w:t>
      </w:r>
      <w:r>
        <w:rPr>
          <w:sz w:val="22"/>
          <w:szCs w:val="22"/>
        </w:rPr>
        <w:t xml:space="preserve"> to correct historical underinvestment.</w:t>
      </w:r>
    </w:p>
    <w:p>
      <w:pPr>
        <w:spacing w:after="80" w:line="300"/>
        <w:jc w:val="both"/>
      </w:pPr>
      <w:r>
        <w:rPr>
          <w:sz w:val="22"/>
          <w:szCs w:val="22"/>
        </w:rPr>
        <w:t xml:space="preserve">• </w:t>
      </w:r>
      <w:r>
        <w:rPr>
          <w:b/>
          <w:bCs/>
          <w:sz w:val="22"/>
          <w:szCs w:val="22"/>
        </w:rPr>
        <w:t xml:space="preserve">$24M+ in captured annual benefit value</w:t>
      </w:r>
      <w:r>
        <w:rPr>
          <w:sz w:val="22"/>
          <w:szCs w:val="22"/>
        </w:rPr>
        <w:t xml:space="preserve"> flowing to households across the 5-area framework: Healthcare Access, Mental Health, Dental, Healthy Aging, and Healthy Children &amp; Families.</w:t>
      </w:r>
    </w:p>
    <w:p>
      <w:pPr>
        <w:spacing w:after="80" w:line="300"/>
        <w:jc w:val="both"/>
      </w:pPr>
      <w:r>
        <w:rPr>
          <w:sz w:val="22"/>
          <w:szCs w:val="22"/>
        </w:rPr>
        <w:t xml:space="preserve">• </w:t>
      </w:r>
      <w:r>
        <w:rPr>
          <w:b/>
          <w:bCs/>
          <w:sz w:val="22"/>
          <w:szCs w:val="22"/>
        </w:rPr>
        <w:t xml:space="preserve">≥85% retention at 6 months</w:t>
      </w:r>
      <w:r>
        <w:rPr>
          <w:sz w:val="22"/>
          <w:szCs w:val="22"/>
        </w:rPr>
        <w:t xml:space="preserve"> and </w:t>
      </w:r>
      <w:r>
        <w:rPr>
          <w:b/>
          <w:bCs/>
          <w:sz w:val="22"/>
          <w:szCs w:val="22"/>
        </w:rPr>
        <w:t xml:space="preserve">≥70% appeal-win rate</w:t>
      </w:r>
      <w:r>
        <w:rPr>
          <w:sz w:val="22"/>
          <w:szCs w:val="22"/>
        </w:rPr>
        <w:t xml:space="preserve"> on initial denials, tracked per county × program × language.</w:t>
      </w:r>
    </w:p>
    <w:p>
      <w:pPr>
        <w:spacing w:after="180" w:line="300"/>
        <w:jc w:val="both"/>
      </w:pPr>
      <w:r>
        <w:rPr>
          <w:sz w:val="22"/>
          <w:szCs w:val="22"/>
        </w:rPr>
        <w:t xml:space="preserve">• </w:t>
      </w:r>
      <w:r>
        <w:rPr>
          <w:b/>
          <w:bCs/>
          <w:sz w:val="22"/>
          <w:szCs w:val="22"/>
        </w:rPr>
        <w:t xml:space="preserve">County × Area × Language renewal matrix</w:t>
      </w:r>
      <w:r>
        <w:rPr>
          <w:sz w:val="22"/>
          <w:szCs w:val="22"/>
        </w:rPr>
        <w:t xml:space="preserve"> delivered to St. David's every 90 days — the exact reporting format your team has asked for.</w:t>
      </w:r>
    </w:p>
    <w:p>
      <w:pPr>
        <w:spacing w:after="120" w:before="240"/>
      </w:pPr>
      <w:r>
        <w:rPr>
          <w:b/>
          <w:bCs/>
          <w:color w:val="1F4E79"/>
          <w:sz w:val="24"/>
          <w:szCs w:val="24"/>
        </w:rPr>
        <w:t xml:space="preserve">Confirmed Partners</w:t>
      </w:r>
    </w:p>
    <w:p>
      <w:pPr>
        <w:spacing w:after="180" w:line="300"/>
        <w:jc w:val="both"/>
      </w:pPr>
      <w:r>
        <w:rPr>
          <w:sz w:val="22"/>
          <w:szCs w:val="22"/>
        </w:rPr>
        <w:t xml:space="preserve">Confirmed collaborating partners include </w:t>
      </w:r>
      <w:r>
        <w:rPr>
          <w:b/>
          <w:bCs/>
          <w:sz w:val="22"/>
          <w:szCs w:val="22"/>
        </w:rPr>
        <w:t xml:space="preserve">CommUnityCare Health Centers, Lone Star Circle of Care, Central Health, Foundation Communities, and El Buen Samaritano</w:t>
      </w:r>
      <w:r>
        <w:rPr>
          <w:sz w:val="22"/>
          <w:szCs w:val="22"/>
        </w:rPr>
        <w:t xml:space="preserve">, with active MOUs in development across school districts (Austin ISD, Hays CISD, Bastrop ISD), faith networks, and county Health &amp; Human Services offices. Full signed roster submitted at full-application stage. </w:t>
      </w:r>
      <w:r>
        <w:rPr>
          <w:b/>
          <w:bCs/>
          <w:sz w:val="22"/>
          <w:szCs w:val="22"/>
        </w:rPr>
        <w:t xml:space="preserve">Partners pay nothing under this grant.</w:t>
      </w:r>
    </w:p>
    <w:p>
      <w:pPr>
        <w:spacing w:after="120" w:before="240"/>
      </w:pPr>
      <w:r>
        <w:rPr>
          <w:b/>
          <w:bCs/>
          <w:color w:val="1F4E79"/>
          <w:sz w:val="24"/>
          <w:szCs w:val="24"/>
        </w:rPr>
        <w:t xml:space="preserve">Why TCAF, Why Now</w:t>
      </w:r>
    </w:p>
    <w:p>
      <w:pPr>
        <w:spacing w:after="180" w:line="300"/>
        <w:jc w:val="both"/>
      </w:pPr>
      <w:r>
        <w:rPr>
          <w:sz w:val="22"/>
          <w:szCs w:val="22"/>
        </w:rPr>
        <w:t xml:space="preserve">TCAF is an </w:t>
      </w:r>
      <w:r>
        <w:rPr>
          <w:b/>
          <w:bCs/>
          <w:sz w:val="22"/>
          <w:szCs w:val="22"/>
        </w:rPr>
        <w:t xml:space="preserve">active HHSC Community Partner Program Level 1 organization</w:t>
      </w:r>
      <w:r>
        <w:rPr>
          <w:sz w:val="22"/>
          <w:szCs w:val="22"/>
        </w:rPr>
        <w:t xml:space="preserve">. We monitor fidelity with a </w:t>
      </w:r>
      <w:r>
        <w:rPr>
          <w:b/>
          <w:bCs/>
          <w:sz w:val="22"/>
          <w:szCs w:val="22"/>
        </w:rPr>
        <w:t xml:space="preserve">30-day MAP-GAP cycle</w:t>
      </w:r>
      <w:r>
        <w:rPr>
          <w:sz w:val="22"/>
          <w:szCs w:val="22"/>
        </w:rPr>
        <w:t xml:space="preserve"> — measure, analyze, plan, govern, adjust, publish — with </w:t>
      </w:r>
      <w:r>
        <w:rPr>
          <w:b/>
          <w:bCs/>
          <w:sz w:val="22"/>
          <w:szCs w:val="22"/>
        </w:rPr>
        <w:t xml:space="preserve">CFIR and RE-AIM implementation-science checks built in</w:t>
      </w:r>
      <w:r>
        <w:rPr>
          <w:sz w:val="22"/>
          <w:szCs w:val="22"/>
        </w:rPr>
        <w:t xml:space="preserve">. If yield drops in a tract, outreach shifts within the cycle. If denials spike on one program, navigator training is retooled. Navigators are trained in two hours; the flow runs on any smartphone, multilingual and low-literacy by default.</w:t>
      </w:r>
    </w:p>
    <w:p>
      <w:pPr>
        <w:spacing w:after="120" w:before="240"/>
      </w:pPr>
      <w:r>
        <w:rPr>
          <w:b/>
          <w:bCs/>
          <w:color w:val="1F4E79"/>
          <w:sz w:val="24"/>
          <w:szCs w:val="24"/>
        </w:rPr>
        <w:t xml:space="preserve">Evaluation, Sustainability, and Match</w:t>
      </w:r>
    </w:p>
    <w:p>
      <w:pPr>
        <w:spacing w:after="180" w:line="300"/>
        <w:jc w:val="both"/>
      </w:pPr>
      <w:r>
        <w:rPr>
          <w:b/>
          <w:bCs/>
          <w:sz w:val="22"/>
          <w:szCs w:val="22"/>
        </w:rPr>
        <w:t xml:space="preserve">External evaluation</w:t>
      </w:r>
      <w:r>
        <w:rPr>
          <w:sz w:val="22"/>
          <w:szCs w:val="22"/>
        </w:rPr>
        <w:t xml:space="preserve"> by a Dell Medical School / UT School of Social Work partnership, with an independent IRB-reviewed protocol and quarterly public dashboards. </w:t>
      </w:r>
      <w:r>
        <w:rPr>
          <w:b/>
          <w:bCs/>
          <w:sz w:val="22"/>
          <w:szCs w:val="22"/>
        </w:rPr>
        <w:t xml:space="preserve">Sustainability</w:t>
      </w:r>
      <w:r>
        <w:rPr>
          <w:sz w:val="22"/>
          <w:szCs w:val="22"/>
        </w:rPr>
        <w:t xml:space="preserve"> post-grant is anchored in HHSC CPP processing reimbursements, Medicaid 1115-waiver navigator billing, and ongoing TCAF infrastructure investment. </w:t>
      </w:r>
      <w:r>
        <w:rPr>
          <w:b/>
          <w:bCs/>
          <w:sz w:val="22"/>
          <w:szCs w:val="22"/>
        </w:rPr>
        <w:t xml:space="preserve">Match commitment of $[XXX,XXX]</w:t>
      </w:r>
      <w:r>
        <w:rPr>
          <w:sz w:val="22"/>
          <w:szCs w:val="22"/>
        </w:rPr>
        <w:t xml:space="preserve"> in in-kind partner clinical staff time and TCAF platform infrastructure.</w:t>
      </w:r>
    </w:p>
    <w:p>
      <w:pPr>
        <w:spacing w:after="120" w:before="240"/>
      </w:pPr>
      <w:r>
        <w:rPr>
          <w:b/>
          <w:bCs/>
          <w:color w:val="1F4E79"/>
          <w:sz w:val="24"/>
          <w:szCs w:val="24"/>
        </w:rPr>
        <w:t xml:space="preserve">The Ask</w:t>
      </w:r>
    </w:p>
    <w:p>
      <w:pPr>
        <w:spacing w:after="180" w:line="300"/>
        <w:jc w:val="both"/>
      </w:pPr>
      <w:r>
        <w:rPr>
          <w:sz w:val="22"/>
          <w:szCs w:val="22"/>
        </w:rPr>
        <w:t xml:space="preserve">We respectfully request </w:t>
      </w:r>
      <w:r>
        <w:rPr>
          <w:b/>
          <w:bCs/>
          <w:sz w:val="22"/>
          <w:szCs w:val="22"/>
        </w:rPr>
        <w:t xml:space="preserve">$[XXX,XXX] over 24 months</w:t>
      </w:r>
      <w:r>
        <w:rPr>
          <w:sz w:val="22"/>
          <w:szCs w:val="22"/>
        </w:rPr>
        <w:t xml:space="preserve"> to operationalize the Collaborative across all five counties, embed community champions in each county, capture and report outcomes in St. David's renewal-report format, and prove a model that other Texas regions can replicate. The result is a clear, measurable path from eligibility to enrollment to retention — at a scale that finally matches the gap.</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TCAF Benefits Enrollment Collaborative — LOI v5 FINAL</dc:title>
  <dc:creator>TCAF</dc:creator>
  <cp:lastModifiedBy>Un-named</cp:lastModifiedBy>
  <cp:revision>1</cp:revision>
  <dcterms:created xsi:type="dcterms:W3CDTF">2026-04-17T01:52:32.217Z</dcterms:created>
  <dcterms:modified xsi:type="dcterms:W3CDTF">2026-04-17T01:52:32.217Z</dcterms:modified>
</cp:coreProperties>
</file>

<file path=docProps/custom.xml><?xml version="1.0" encoding="utf-8"?>
<Properties xmlns="http://schemas.openxmlformats.org/officeDocument/2006/custom-properties" xmlns:vt="http://schemas.openxmlformats.org/officeDocument/2006/docPropsVTypes"/>
</file>