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vitality-weight-management-program"/>
    <w:p>
      <w:pPr>
        <w:pStyle w:val="Heading1"/>
      </w:pPr>
      <w:r>
        <w:t xml:space="preserve">VITALITY WEIGHT MANAGEMENT PROGRAM</w:t>
      </w:r>
    </w:p>
    <w:bookmarkStart w:id="20" w:name="Xed0a674172296108469d54e1857421904572364"/>
    <w:p>
      <w:pPr>
        <w:pStyle w:val="Heading2"/>
      </w:pPr>
      <w:r>
        <w:t xml:space="preserve">Proposal in Response to Sedgwick County RFP #26-0028</w:t>
      </w:r>
    </w:p>
    <w:bookmarkEnd w:id="20"/>
    <w:bookmarkStart w:id="23" w:name="Xd1823e9ead0d8e6172559b11af5d440e1b4320a"/>
    <w:p>
      <w:pPr>
        <w:pStyle w:val="Heading2"/>
      </w:pPr>
      <w:r>
        <w:t xml:space="preserve">Employee Ancillary Benefits — Weight Loss / Weight Management Program</w:t>
      </w:r>
    </w:p>
    <w:p>
      <w:r>
        <w:pict>
          <v:rect style="width:0;height:1.5pt" o:hralign="center" o:hrstd="t" o:hr="t"/>
        </w:pict>
      </w:r>
    </w:p>
    <w:p>
      <w:pPr>
        <w:pStyle w:val="FirstParagraph"/>
      </w:pPr>
      <w:r>
        <w:rPr>
          <w:b/>
          <w:bCs/>
        </w:rPr>
        <w:t xml:space="preserve">Submitted to:</w:t>
      </w:r>
      <w:r>
        <w:t xml:space="preserve"> </w:t>
      </w:r>
      <w:r>
        <w:t xml:space="preserve">Tammy Culley, Purchasing Agent</w:t>
      </w:r>
      <w:r>
        <w:t xml:space="preserve"> </w:t>
      </w:r>
      <w:r>
        <w:t xml:space="preserve">Sedgwick County Purchasing Department</w:t>
      </w:r>
      <w:r>
        <w:t xml:space="preserve"> </w:t>
      </w:r>
      <w:r>
        <w:t xml:space="preserve">100 N. Broadway, Suite 610</w:t>
      </w:r>
      <w:r>
        <w:t xml:space="preserve"> </w:t>
      </w:r>
      <w:r>
        <w:t xml:space="preserve">Wichita, KS 67202</w:t>
      </w:r>
      <w:r>
        <w:t xml:space="preserve"> </w:t>
      </w:r>
      <w:hyperlink r:id="rId21">
        <w:r>
          <w:rPr>
            <w:rStyle w:val="Hyperlink"/>
          </w:rPr>
          <w:t xml:space="preserve">purchasing@sedgwick.gov</w:t>
        </w:r>
      </w:hyperlink>
    </w:p>
    <w:p>
      <w:pPr>
        <w:pStyle w:val="BodyText"/>
      </w:pPr>
      <w:r>
        <w:rPr>
          <w:b/>
          <w:bCs/>
        </w:rPr>
        <w:t xml:space="preserve">Submitted by (Prime Contractor):</w:t>
      </w:r>
      <w:r>
        <w:t xml:space="preserve"> </w:t>
      </w:r>
      <w:r>
        <w:t xml:space="preserve">Dr. Chela Love, DNP, FNP-C — President</w:t>
      </w:r>
      <w:r>
        <w:t xml:space="preserve"> </w:t>
      </w:r>
      <w:r>
        <w:t xml:space="preserve">Love Clinic &amp; Med Spa, LLC</w:t>
      </w:r>
      <w:r>
        <w:t xml:space="preserve"> </w:t>
      </w:r>
      <w:r>
        <w:t xml:space="preserve">214 S Rock Rd, Suite 101 · Wichita, KS 67207</w:t>
      </w:r>
      <w:r>
        <w:t xml:space="preserve"> </w:t>
      </w:r>
      <w:hyperlink r:id="rId22">
        <w:r>
          <w:rPr>
            <w:rStyle w:val="Hyperlink"/>
          </w:rPr>
          <w:t xml:space="preserve">chelalove@loveclinicmedspa.com</w:t>
        </w:r>
      </w:hyperlink>
      <w:r>
        <w:t xml:space="preserve"> </w:t>
      </w:r>
      <w:r>
        <w:t xml:space="preserve">· 316-669-4770</w:t>
      </w:r>
    </w:p>
    <w:p>
      <w:pPr>
        <w:pStyle w:val="BodyText"/>
      </w:pPr>
      <w:r>
        <w:rPr>
          <w:b/>
          <w:bCs/>
        </w:rPr>
        <w:t xml:space="preserve">Program member portal:</w:t>
      </w:r>
      <w:r>
        <w:t xml:space="preserve"> </w:t>
      </w:r>
      <w:r>
        <w:rPr>
          <w:b/>
          <w:bCs/>
        </w:rPr>
        <w:t xml:space="preserve">glpwellness.fit</w:t>
      </w:r>
      <w:r>
        <w:t xml:space="preserve"> </w:t>
      </w:r>
      <w:r>
        <w:t xml:space="preserve">(public-facing entry point to the Vitality member experience for Sedgwick County employees and covered dependents)</w:t>
      </w:r>
    </w:p>
    <w:p>
      <w:pPr>
        <w:pStyle w:val="BodyText"/>
      </w:pPr>
      <w:r>
        <w:rPr>
          <w:b/>
          <w:bCs/>
        </w:rPr>
        <w:t xml:space="preserve">In partnership with (Subcontractors):</w:t>
      </w:r>
      <w:r>
        <w:t xml:space="preserve"> </w:t>
      </w:r>
      <w:r>
        <w:t xml:space="preserve">Hargrave Innovative Solutions (contract administration &amp; compliance) · Vanntastic Solutions (behavioral coaching) · The COLLABORATIVE Advocate Foundation (digital platform &amp; analytics)</w:t>
      </w:r>
    </w:p>
    <w:p>
      <w:pPr>
        <w:pStyle w:val="BodyText"/>
      </w:pPr>
      <w:r>
        <w:rPr>
          <w:b/>
          <w:bCs/>
        </w:rPr>
        <w:t xml:space="preserve">Date of submission:</w:t>
      </w:r>
      <w:r>
        <w:t xml:space="preserve"> </w:t>
      </w:r>
      <w:r>
        <w:t xml:space="preserve">June 2, 2026</w:t>
      </w:r>
      <w:r>
        <w:t xml:space="preserve"> </w:t>
      </w:r>
      <w:r>
        <w:rPr>
          <w:b/>
          <w:bCs/>
        </w:rPr>
        <w:t xml:space="preserve">Submission deadline acknowledged:</w:t>
      </w:r>
      <w:r>
        <w:t xml:space="preserve"> </w:t>
      </w:r>
      <w:r>
        <w:t xml:space="preserve">1:45 PM CDT, June 2, 2026</w:t>
      </w:r>
    </w:p>
    <w:p>
      <w:pPr>
        <w:pStyle w:val="BodyText"/>
      </w:pPr>
      <w:r>
        <w:rPr>
          <w:b/>
          <w:bCs/>
        </w:rPr>
        <w:t xml:space="preserve">Addenda acknowledged:</w:t>
      </w:r>
    </w:p>
    <w:p>
      <w:pPr>
        <w:pStyle w:val="Compact"/>
        <w:numPr>
          <w:ilvl w:val="0"/>
          <w:numId w:val="1001"/>
        </w:numPr>
      </w:pPr>
      <w:r>
        <w:t xml:space="preserve">Addendum #1 (as issued) — signed acknowledgment in Appendix C</w:t>
      </w:r>
    </w:p>
    <w:p>
      <w:pPr>
        <w:pStyle w:val="Compact"/>
        <w:numPr>
          <w:ilvl w:val="0"/>
          <w:numId w:val="1001"/>
        </w:numPr>
      </w:pPr>
      <w:r>
        <w:rPr>
          <w:b/>
          <w:bCs/>
        </w:rPr>
        <w:t xml:space="preserve">Addendum #2 (issued May 22, 2026 by Tammy Culley, Purchasing Agent)</w:t>
      </w:r>
      <w:r>
        <w:t xml:space="preserve"> </w:t>
      </w:r>
      <w:r>
        <w:t xml:space="preserve">— signed acknowledgment in Appendix C</w:t>
      </w:r>
    </w:p>
    <w:p>
      <w:r>
        <w:pict>
          <v:rect style="width:0;height:1.5pt" o:hralign="center" o:hrstd="t" o:hr="t"/>
        </w:pict>
      </w:r>
    </w:p>
    <w:bookmarkEnd w:id="23"/>
    <w:bookmarkStart w:id="24" w:name="table-of-contents"/>
    <w:p>
      <w:pPr>
        <w:pStyle w:val="Heading2"/>
      </w:pPr>
      <w:r>
        <w:t xml:space="preserve">TABLE OF CONTENTS</w:t>
      </w:r>
    </w:p>
    <w:p>
      <w:pPr>
        <w:pStyle w:val="Compact"/>
        <w:numPr>
          <w:ilvl w:val="0"/>
          <w:numId w:val="1002"/>
        </w:numPr>
      </w:pPr>
      <w:r>
        <w:t xml:space="preserve">Cover Letter</w:t>
      </w:r>
    </w:p>
    <w:p>
      <w:pPr>
        <w:pStyle w:val="Compact"/>
        <w:numPr>
          <w:ilvl w:val="0"/>
          <w:numId w:val="1002"/>
        </w:numPr>
      </w:pPr>
      <w:r>
        <w:t xml:space="preserve">Executive Summary</w:t>
      </w:r>
    </w:p>
    <w:p>
      <w:pPr>
        <w:pStyle w:val="Compact"/>
        <w:numPr>
          <w:ilvl w:val="0"/>
          <w:numId w:val="1002"/>
        </w:numPr>
      </w:pPr>
      <w:r>
        <w:t xml:space="preserve">Team and Organizational Qualifications</w:t>
      </w:r>
    </w:p>
    <w:p>
      <w:pPr>
        <w:pStyle w:val="Compact"/>
        <w:numPr>
          <w:ilvl w:val="0"/>
          <w:numId w:val="1002"/>
        </w:numPr>
      </w:pPr>
      <w:r>
        <w:t xml:space="preserve">Understanding of the County's Needs</w:t>
      </w:r>
    </w:p>
    <w:p>
      <w:pPr>
        <w:pStyle w:val="Compact"/>
        <w:numPr>
          <w:ilvl w:val="0"/>
          <w:numId w:val="1002"/>
        </w:numPr>
      </w:pPr>
      <w:r>
        <w:t xml:space="preserve">Program Design — Vitality Comprehensive Weight Management</w:t>
      </w:r>
    </w:p>
    <w:p>
      <w:pPr>
        <w:pStyle w:val="Compact"/>
        <w:numPr>
          <w:ilvl w:val="0"/>
          <w:numId w:val="1002"/>
        </w:numPr>
      </w:pPr>
      <w:r>
        <w:t xml:space="preserve">Technology Platform</w:t>
      </w:r>
    </w:p>
    <w:p>
      <w:pPr>
        <w:pStyle w:val="Compact"/>
        <w:numPr>
          <w:ilvl w:val="0"/>
          <w:numId w:val="1002"/>
        </w:numPr>
      </w:pPr>
      <w:r>
        <w:t xml:space="preserve">Implementation Plan</w:t>
      </w:r>
    </w:p>
    <w:p>
      <w:pPr>
        <w:pStyle w:val="Compact"/>
        <w:numPr>
          <w:ilvl w:val="0"/>
          <w:numId w:val="1002"/>
        </w:numPr>
      </w:pPr>
      <w:r>
        <w:t xml:space="preserve">Pricing Model and Return on Investment</w:t>
      </w:r>
    </w:p>
    <w:p>
      <w:pPr>
        <w:pStyle w:val="Compact"/>
        <w:numPr>
          <w:ilvl w:val="0"/>
          <w:numId w:val="1002"/>
        </w:numPr>
      </w:pPr>
      <w:r>
        <w:t xml:space="preserve">Reporting and Performance Metrics</w:t>
      </w:r>
    </w:p>
    <w:p>
      <w:pPr>
        <w:pStyle w:val="Compact"/>
        <w:numPr>
          <w:ilvl w:val="0"/>
          <w:numId w:val="1002"/>
        </w:numPr>
      </w:pPr>
      <w:r>
        <w:t xml:space="preserve">References and Past Performance</w:t>
      </w:r>
    </w:p>
    <w:p>
      <w:pPr>
        <w:pStyle w:val="Compact"/>
        <w:numPr>
          <w:ilvl w:val="0"/>
          <w:numId w:val="1002"/>
        </w:numPr>
      </w:pPr>
      <w:r>
        <w:t xml:space="preserve">Compliance, Insurance, and Certifications</w:t>
      </w:r>
    </w:p>
    <w:p>
      <w:pPr>
        <w:pStyle w:val="Compact"/>
        <w:numPr>
          <w:ilvl w:val="0"/>
          <w:numId w:val="1002"/>
        </w:numPr>
      </w:pPr>
      <w:r>
        <w:t xml:space="preserve">Appendices</w:t>
      </w:r>
    </w:p>
    <w:p>
      <w:r>
        <w:pict>
          <v:rect style="width:0;height:1.5pt" o:hralign="center" o:hrstd="t" o:hr="t"/>
        </w:pict>
      </w:r>
    </w:p>
    <w:bookmarkEnd w:id="24"/>
    <w:bookmarkStart w:id="31" w:name="X05009bdf89d2666de42447a7992b9234fc2f281"/>
    <w:p>
      <w:pPr>
        <w:pStyle w:val="Heading2"/>
      </w:pPr>
      <w:r>
        <w:t xml:space="preserve">⚠️ Pre-submission Action Items — by Owner</w:t>
      </w:r>
    </w:p>
    <w:p>
      <w:pPr>
        <w:pStyle w:val="FirstParagraph"/>
      </w:pPr>
      <w:r>
        <w:t xml:space="preserve">This block lists every item still owed before 1:45 PM CDT, June 2, 2026. Marked</w:t>
      </w:r>
      <w:r>
        <w:t xml:space="preserve"> </w:t>
      </w:r>
      <w:r>
        <w:rPr>
          <w:b/>
          <w:bCs/>
        </w:rPr>
        <w:t xml:space="preserve">OWNER</w:t>
      </w:r>
      <w:r>
        <w:t xml:space="preserve"> </w:t>
      </w:r>
      <w:r>
        <w:t xml:space="preserve">= who furnishes it. Items appear in the body as</w:t>
      </w:r>
      <w:r>
        <w:t xml:space="preserve"> </w:t>
      </w:r>
      <w:r>
        <w:rPr>
          <w:rStyle w:val="VerbatimChar"/>
        </w:rPr>
        <w:t xml:space="preserve">{{ACTION REQUIRED — &lt;owner&gt;}}</w:t>
      </w:r>
      <w:r>
        <w:t xml:space="preserve"> </w:t>
      </w:r>
      <w:r>
        <w:t xml:space="preserve">so they're machine-findable.</w:t>
      </w:r>
    </w:p>
    <w:bookmarkStart w:id="25" w:name="X31bff5cc3258a1192a340ffeebab603c8c87f54"/>
    <w:p>
      <w:pPr>
        <w:pStyle w:val="Heading3"/>
      </w:pPr>
      <w:r>
        <w:t xml:space="preserve">🟥 HIS / Eric Hargrave — Prime Contractor (largest block — hard blocker)</w:t>
      </w:r>
    </w:p>
    <w:p>
      <w:pPr>
        <w:pStyle w:val="FirstParagraph"/>
      </w:pPr>
      <w:r>
        <w:t xml:space="preserve">These are HIS firm-data fields for</w:t>
      </w:r>
      <w:r>
        <w:t xml:space="preserve"> </w:t>
      </w:r>
      <w:r>
        <w:rPr>
          <w:b/>
          <w:bCs/>
        </w:rPr>
        <w:t xml:space="preserve">Appendix F.1 (Sedgwick County Response Form, Page 1)</w:t>
      </w:r>
      <w:r>
        <w:t xml:space="preserve"> </w:t>
      </w:r>
      <w:r>
        <w:t xml:space="preserve">— filed in HIS's name only:</w:t>
      </w:r>
    </w:p>
    <w:p>
      <w:pPr>
        <w:pStyle w:val="Compact"/>
        <w:numPr>
          <w:ilvl w:val="0"/>
          <w:numId w:val="1003"/>
        </w:numPr>
      </w:pPr>
      <w:r>
        <w:t xml:space="preserve">DBA (if any) — or write "N/A"</w:t>
      </w:r>
    </w:p>
    <w:p>
      <w:pPr>
        <w:pStyle w:val="Compact"/>
        <w:numPr>
          <w:ilvl w:val="0"/>
          <w:numId w:val="1003"/>
        </w:numPr>
      </w:pPr>
      <w:r>
        <w:t xml:space="preserve">Mailing address (street, city, state, ZIP)</w:t>
      </w:r>
    </w:p>
    <w:p>
      <w:pPr>
        <w:pStyle w:val="Compact"/>
        <w:numPr>
          <w:ilvl w:val="0"/>
          <w:numId w:val="1003"/>
        </w:numPr>
      </w:pPr>
      <w:r>
        <w:t xml:space="preserve">State of LLC/Corp formation</w:t>
      </w:r>
      <w:r>
        <w:t xml:space="preserve"> </w:t>
      </w:r>
      <w:r>
        <w:rPr>
          <w:i/>
          <w:iCs/>
        </w:rPr>
        <w:t xml:space="preserve">(HIS is Wichita-based — one open field on the subcontract execution page)</w:t>
      </w:r>
    </w:p>
    <w:p>
      <w:pPr>
        <w:pStyle w:val="Compact"/>
        <w:numPr>
          <w:ilvl w:val="0"/>
          <w:numId w:val="1003"/>
        </w:numPr>
      </w:pPr>
      <w:r>
        <w:t xml:space="preserve">Fax — or write "N/A"</w:t>
      </w:r>
    </w:p>
    <w:p>
      <w:pPr>
        <w:pStyle w:val="Compact"/>
        <w:numPr>
          <w:ilvl w:val="0"/>
          <w:numId w:val="1003"/>
        </w:numPr>
      </w:pPr>
      <w:r>
        <w:t xml:space="preserve">Website</w:t>
      </w:r>
    </w:p>
    <w:p>
      <w:pPr>
        <w:pStyle w:val="Compact"/>
        <w:numPr>
          <w:ilvl w:val="0"/>
          <w:numId w:val="1003"/>
        </w:numPr>
      </w:pPr>
      <w:r>
        <w:t xml:space="preserve">Year established</w:t>
      </w:r>
    </w:p>
    <w:p>
      <w:pPr>
        <w:pStyle w:val="Compact"/>
        <w:numPr>
          <w:ilvl w:val="0"/>
          <w:numId w:val="1003"/>
        </w:numPr>
      </w:pPr>
      <w:r>
        <w:t xml:space="preserve">Number of employees</w:t>
      </w:r>
    </w:p>
    <w:p>
      <w:pPr>
        <w:pStyle w:val="Compact"/>
        <w:numPr>
          <w:ilvl w:val="0"/>
          <w:numId w:val="1003"/>
        </w:numPr>
      </w:pPr>
      <w:r>
        <w:t xml:space="preserve">Number of locations</w:t>
      </w:r>
    </w:p>
    <w:p>
      <w:pPr>
        <w:pStyle w:val="Compact"/>
        <w:numPr>
          <w:ilvl w:val="0"/>
          <w:numId w:val="1003"/>
        </w:numPr>
      </w:pPr>
      <w:r>
        <w:t xml:space="preserve">Hours of operation</w:t>
      </w:r>
      <w:r>
        <w:t xml:space="preserve"> </w:t>
      </w:r>
      <w:r>
        <w:rPr>
          <w:i/>
          <w:iCs/>
        </w:rPr>
        <w:t xml:space="preserve">(default M–F 8:00a–5:00p CT unless otherwise specified)</w:t>
      </w:r>
    </w:p>
    <w:p>
      <w:pPr>
        <w:pStyle w:val="Compact"/>
        <w:numPr>
          <w:ilvl w:val="0"/>
          <w:numId w:val="1003"/>
        </w:numPr>
      </w:pPr>
      <w:r>
        <w:t xml:space="preserve">Business classification (LLC / S-Corp / C-Corp / Sole Proprietorship / Partnership)</w:t>
      </w:r>
    </w:p>
    <w:p>
      <w:pPr>
        <w:pStyle w:val="Compact"/>
        <w:numPr>
          <w:ilvl w:val="0"/>
          <w:numId w:val="1003"/>
        </w:numPr>
      </w:pPr>
      <w:r>
        <w:t xml:space="preserve">Small business — Y / N</w:t>
      </w:r>
    </w:p>
    <w:p>
      <w:pPr>
        <w:pStyle w:val="Compact"/>
        <w:numPr>
          <w:ilvl w:val="0"/>
          <w:numId w:val="1003"/>
        </w:numPr>
      </w:pPr>
      <w:r>
        <w:t xml:space="preserve">Minority-owned business — Y / N</w:t>
      </w:r>
      <w:r>
        <w:t xml:space="preserve"> </w:t>
      </w:r>
      <w:r>
        <w:rPr>
          <w:i/>
          <w:iCs/>
        </w:rPr>
        <w:t xml:space="preserve">(likely Y given principal — confirm)</w:t>
      </w:r>
    </w:p>
    <w:p>
      <w:pPr>
        <w:pStyle w:val="Compact"/>
        <w:numPr>
          <w:ilvl w:val="0"/>
          <w:numId w:val="1003"/>
        </w:numPr>
      </w:pPr>
      <w:r>
        <w:t xml:space="preserve">Woman-owned business — Y / N</w:t>
      </w:r>
    </w:p>
    <w:p>
      <w:pPr>
        <w:pStyle w:val="Compact"/>
        <w:numPr>
          <w:ilvl w:val="0"/>
          <w:numId w:val="1003"/>
        </w:numPr>
      </w:pPr>
      <w:r>
        <w:t xml:space="preserve">Veteran-owned business — Y / N</w:t>
      </w:r>
      <w:r>
        <w:t xml:space="preserve"> </w:t>
      </w:r>
      <w:r>
        <w:rPr>
          <w:i/>
          <w:iCs/>
        </w:rPr>
        <w:t xml:space="preserve">(HIS itself must qualify on its own ownership; Dr. Flood's Army-retiree status applies to TCAF sub row, not Love Clinic Prime)</w:t>
      </w:r>
    </w:p>
    <w:p>
      <w:pPr>
        <w:pStyle w:val="Compact"/>
        <w:numPr>
          <w:ilvl w:val="0"/>
          <w:numId w:val="1003"/>
        </w:numPr>
      </w:pPr>
      <w:r>
        <w:t xml:space="preserve">Registered to do business in Kansas — Y / N</w:t>
      </w:r>
      <w:r>
        <w:t xml:space="preserve"> </w:t>
      </w:r>
      <w:r>
        <w:rPr>
          <w:i/>
          <w:iCs/>
        </w:rPr>
        <w:t xml:space="preserve">(if N, HIS must register before contract award)</w:t>
      </w:r>
    </w:p>
    <w:p>
      <w:pPr>
        <w:pStyle w:val="Compact"/>
        <w:numPr>
          <w:ilvl w:val="0"/>
          <w:numId w:val="1003"/>
        </w:numPr>
      </w:pPr>
      <w:r>
        <w:t xml:space="preserve">UEI (SAM.gov Unique Entity Identifier)</w:t>
      </w:r>
    </w:p>
    <w:p>
      <w:pPr>
        <w:pStyle w:val="FirstParagraph"/>
      </w:pPr>
      <w:r>
        <w:t xml:space="preserve">Plus from HIS broker:</w:t>
      </w:r>
    </w:p>
    <w:p>
      <w:pPr>
        <w:pStyle w:val="Compact"/>
        <w:numPr>
          <w:ilvl w:val="0"/>
          <w:numId w:val="1004"/>
        </w:numPr>
      </w:pPr>
      <w:r>
        <w:rPr>
          <w:b/>
          <w:bCs/>
        </w:rPr>
        <w:t xml:space="preserve">Letter of Insurability</w:t>
      </w:r>
      <w:r>
        <w:t xml:space="preserve"> </w:t>
      </w:r>
      <w:r>
        <w:t xml:space="preserve">(Appendix G) on broker letterhead, covering every line in §11.2 (GL, Auto, Workers' Comp + Employer's, Professional Liability, Umbrella, Cyber)</w:t>
      </w:r>
    </w:p>
    <w:p>
      <w:pPr>
        <w:pStyle w:val="Compact"/>
        <w:numPr>
          <w:ilvl w:val="0"/>
          <w:numId w:val="1004"/>
        </w:numPr>
      </w:pPr>
      <w:r>
        <w:rPr>
          <w:b/>
          <w:bCs/>
        </w:rPr>
        <w:t xml:space="preserve">3 professional references</w:t>
      </w:r>
      <w:r>
        <w:t xml:space="preserve"> </w:t>
      </w:r>
      <w:r>
        <w:t xml:space="preserve">(Appendix E) for HIS, scope and dates within the last 3 years</w:t>
      </w:r>
    </w:p>
    <w:bookmarkEnd w:id="25"/>
    <w:bookmarkStart w:id="26" w:name="X66c5586bd32de28613889dc236623f949eb096b"/>
    <w:p>
      <w:pPr>
        <w:pStyle w:val="Heading3"/>
      </w:pPr>
      <w:r>
        <w:t xml:space="preserve">🟩 Love Clinic &amp; Med Spa, LLC / Dr. Chela Love — CLOSED 2026-05-27 from primary sources delivered by Dr. Love</w:t>
      </w:r>
    </w:p>
    <w:p>
      <w:pPr>
        <w:pStyle w:val="FirstParagraph"/>
      </w:pPr>
      <w:r>
        <w:t xml:space="preserve">For</w:t>
      </w:r>
      <w:r>
        <w:t xml:space="preserve"> </w:t>
      </w:r>
      <w:r>
        <w:rPr>
          <w:b/>
          <w:bCs/>
        </w:rPr>
        <w:t xml:space="preserve">Appendix F.2</w:t>
      </w:r>
      <w:r>
        <w:t xml:space="preserve"> </w:t>
      </w:r>
      <w:r>
        <w:t xml:space="preserve">(HIS-retained sub due-diligence file):</w:t>
      </w:r>
    </w:p>
    <w:p>
      <w:pPr>
        <w:pStyle w:val="Compact"/>
        <w:numPr>
          <w:ilvl w:val="0"/>
          <w:numId w:val="1005"/>
        </w:numPr>
      </w:pPr>
      <w:r>
        <w:t xml:space="preserve">✅ Year established —</w:t>
      </w:r>
      <w:r>
        <w:t xml:space="preserve"> </w:t>
      </w:r>
      <w:r>
        <w:rPr>
          <w:b/>
          <w:bCs/>
        </w:rPr>
        <w:t xml:space="preserve">January 2017</w:t>
      </w:r>
      <w:r>
        <w:t xml:space="preserve"> </w:t>
      </w:r>
      <w:r>
        <w:t xml:space="preserve">(per Chela Love CV, "Love Clinic &amp; Med Spa, LLC, Wichita, KS, January 2017–Present")</w:t>
      </w:r>
    </w:p>
    <w:p>
      <w:pPr>
        <w:pStyle w:val="Compact"/>
        <w:numPr>
          <w:ilvl w:val="0"/>
          <w:numId w:val="1005"/>
        </w:numPr>
      </w:pPr>
      <w:r>
        <w:t xml:space="preserve">✅ Number of employees —</w:t>
      </w:r>
      <w:r>
        <w:t xml:space="preserve"> </w:t>
      </w:r>
      <w:r>
        <w:rPr>
          <w:b/>
          <w:bCs/>
        </w:rPr>
        <w:t xml:space="preserve">Dr. Love + 2 named clinical-team members on file</w:t>
      </w:r>
      <w:r>
        <w:t xml:space="preserve"> </w:t>
      </w:r>
      <w:r>
        <w:t xml:space="preserve">(Angie Funes, Office Mgr / MA; Yorly Salazar, CCMA / CNA). Total head-count for the F.2 row to be confirmed by Dr. Love (additional aestheticians / front desk likely not named in delivered packet)</w:t>
      </w:r>
    </w:p>
    <w:p>
      <w:pPr>
        <w:pStyle w:val="Compact"/>
        <w:numPr>
          <w:ilvl w:val="0"/>
          <w:numId w:val="1005"/>
        </w:numPr>
      </w:pPr>
      <w:r>
        <w:t xml:space="preserve">✅ Business classification —</w:t>
      </w:r>
      <w:r>
        <w:t xml:space="preserve"> </w:t>
      </w:r>
      <w:r>
        <w:rPr>
          <w:b/>
          <w:bCs/>
        </w:rPr>
        <w:t xml:space="preserve">LLC</w:t>
      </w:r>
      <w:r>
        <w:t xml:space="preserve"> </w:t>
      </w:r>
      <w:r>
        <w:t xml:space="preserve">(per "Love Clinic &amp; Med Spa, LLC" on Chela Love CV)</w:t>
      </w:r>
    </w:p>
    <w:p>
      <w:pPr>
        <w:pStyle w:val="Compact"/>
        <w:numPr>
          <w:ilvl w:val="0"/>
          <w:numId w:val="1005"/>
        </w:numPr>
      </w:pPr>
      <w:r>
        <w:t xml:space="preserve">✅ Registered in Kansas —</w:t>
      </w:r>
      <w:r>
        <w:t xml:space="preserve"> </w:t>
      </w:r>
      <w:r>
        <w:rPr>
          <w:b/>
          <w:bCs/>
        </w:rPr>
        <w:t xml:space="preserve">Y</w:t>
      </w:r>
      <w:r>
        <w:t xml:space="preserve"> </w:t>
      </w:r>
      <w:r>
        <w:t xml:space="preserve">(Kansas LLC; KS RN license # active 2007–present; KS-domiciled physical clinic at 214 S Rock Rd, Wichita)</w:t>
      </w:r>
    </w:p>
    <w:p>
      <w:pPr>
        <w:pStyle w:val="Compact"/>
        <w:numPr>
          <w:ilvl w:val="0"/>
          <w:numId w:val="1005"/>
        </w:numPr>
      </w:pPr>
      <w:r>
        <w:t xml:space="preserve">⬜ KS APRN / DNP license number for Dr. Love —</w:t>
      </w:r>
      <w:r>
        <w:t xml:space="preserve"> </w:t>
      </w:r>
      <w:r>
        <w:rPr>
          <w:i/>
          <w:iCs/>
        </w:rPr>
        <w:t xml:space="preserve">still owed (verifiable on Kansas State Board of Nursing public lookup; HIS to confirm prior to submission)</w:t>
      </w:r>
    </w:p>
    <w:p>
      <w:pPr>
        <w:pStyle w:val="Compact"/>
        <w:numPr>
          <w:ilvl w:val="0"/>
          <w:numId w:val="1005"/>
        </w:numPr>
      </w:pPr>
      <w:r>
        <w:t xml:space="preserve">n/a UEI — not required for sub</w:t>
      </w:r>
    </w:p>
    <w:p>
      <w:pPr>
        <w:pStyle w:val="Compact"/>
        <w:numPr>
          <w:ilvl w:val="0"/>
          <w:numId w:val="1005"/>
        </w:numPr>
      </w:pPr>
      <w:r>
        <w:t xml:space="preserve">⬜</w:t>
      </w:r>
      <w:r>
        <w:t xml:space="preserve"> </w:t>
      </w:r>
      <w:r>
        <w:rPr>
          <w:b/>
          <w:bCs/>
        </w:rPr>
        <w:t xml:space="preserve">Current Certificate of Insurance</w:t>
      </w:r>
      <w:r>
        <w:t xml:space="preserve"> </w:t>
      </w:r>
      <w:r>
        <w:t xml:space="preserve">for Appendix G —</w:t>
      </w:r>
      <w:r>
        <w:t xml:space="preserve"> </w:t>
      </w:r>
      <w:r>
        <w:rPr>
          <w:i/>
          <w:iCs/>
        </w:rPr>
        <w:t xml:space="preserve">still owed (Eric noted Love Clinic added him to their insurance on 2026-05-26; HIS to obtain endorsement copy + standalone COI for Love Clinic &amp; Med Spa, LLC for the Appendix G binder)</w:t>
      </w:r>
    </w:p>
    <w:p>
      <w:pPr>
        <w:pStyle w:val="Compact"/>
        <w:numPr>
          <w:ilvl w:val="0"/>
          <w:numId w:val="1005"/>
        </w:numPr>
      </w:pPr>
      <w:r>
        <w:t xml:space="preserve">✅</w:t>
      </w:r>
      <w:r>
        <w:t xml:space="preserve"> </w:t>
      </w:r>
      <w:r>
        <w:rPr>
          <w:b/>
          <w:bCs/>
        </w:rPr>
        <w:t xml:space="preserve">3 professional references</w:t>
      </w:r>
      <w:r>
        <w:t xml:space="preserve"> </w:t>
      </w:r>
      <w:r>
        <w:t xml:space="preserve">for Appendix E —</w:t>
      </w:r>
      <w:r>
        <w:t xml:space="preserve"> </w:t>
      </w:r>
      <w:r>
        <w:rPr>
          <w:b/>
          <w:bCs/>
        </w:rPr>
        <w:t xml:space="preserve">CLOSED.</w:t>
      </w:r>
      <w:r>
        <w:t xml:space="preserve"> </w:t>
      </w:r>
      <w:r>
        <w:t xml:space="preserve">Three written employer references on file: Keri Williams, Director of Operations (Wichita, KS — May 24, 2026); Christine Bacci, CEO, Thrive Therapy of KS (Wichita, KS — May 24, 2025); third Wichita employer GLP-1 telehealth reference (May 24, 2026)</w:t>
      </w:r>
    </w:p>
    <w:p>
      <w:pPr>
        <w:pStyle w:val="Compact"/>
        <w:numPr>
          <w:ilvl w:val="0"/>
          <w:numId w:val="1005"/>
        </w:numPr>
      </w:pPr>
      <w:r>
        <w:t xml:space="preserve">✅ Bilingual (English/Spanish) capacity in §3.2 —</w:t>
      </w:r>
      <w:r>
        <w:t xml:space="preserve"> </w:t>
      </w:r>
      <w:r>
        <w:rPr>
          <w:b/>
          <w:bCs/>
        </w:rPr>
        <w:t xml:space="preserve">CONFIRMED ACCURATE.</w:t>
      </w:r>
      <w:r>
        <w:t xml:space="preserve"> </w:t>
      </w:r>
      <w:r>
        <w:t xml:space="preserve">Two named bilingual frontline staff: Angie Funes (Office Mgr / MA, fluent EN/ES per CV) and Yorly Salazar (CCMA / CNA, fluent EN/ES per CV)</w:t>
      </w:r>
    </w:p>
    <w:p>
      <w:pPr>
        <w:pStyle w:val="FirstParagraph"/>
      </w:pPr>
      <w:r>
        <w:rPr>
          <w:b/>
          <w:bCs/>
        </w:rPr>
        <w:t xml:space="preserve">Iron Rule #9 / credential precision (caught 2026-05-27, refined 2026-05-27 after architect review):</w:t>
      </w:r>
      <w:r>
        <w:t xml:space="preserve"> </w:t>
      </w:r>
      <w:r>
        <w:t xml:space="preserve">Earlier draft referred to Dr. Love as "DNP" only. Her own clinical signature on the GLP workflow document reads "Chela Love, DNP, FNP-c", and her CV documents Board-Certified Family Nurse Practitioner via AANPCB since 2014. Updated to</w:t>
      </w:r>
      <w:r>
        <w:t xml:space="preserve"> </w:t>
      </w:r>
      <w:r>
        <w:rPr>
          <w:b/>
          <w:bCs/>
        </w:rPr>
        <w:t xml:space="preserve">"Dr. Chela Love, DNP, FNP-C"</w:t>
      </w:r>
      <w:r>
        <w:t xml:space="preserve"> </w:t>
      </w:r>
      <w:r>
        <w:t xml:space="preserve">throughout the proposal (verbatim per her clinical signature). FNP-C combined with KS RN licensure makes her an Advanced Practice Registered Nurse (APRN) under Kansas regulation; that APRN regulatory classification confers prescribing authority and is the foundation of Pathway B (GLP-1 Managed Care), so the proposal narrative explains the APRN status without using "APRN" as part of the post-nominal credential string (the post-nominal string is FNP-C, not APRN, per her own signature).</w:t>
      </w:r>
    </w:p>
    <w:bookmarkEnd w:id="26"/>
    <w:bookmarkStart w:id="27" w:name="X3a1b0bf9697aa03bd3af19e4db9545685e2259d"/>
    <w:p>
      <w:pPr>
        <w:pStyle w:val="Heading3"/>
      </w:pPr>
      <w:r>
        <w:t xml:space="preserve">🟨 Vanntastic Solutions / Dr. J. Michelle Vann</w:t>
      </w:r>
    </w:p>
    <w:p>
      <w:pPr>
        <w:pStyle w:val="FirstParagraph"/>
      </w:pPr>
      <w:r>
        <w:t xml:space="preserve">For</w:t>
      </w:r>
      <w:r>
        <w:t xml:space="preserve"> </w:t>
      </w:r>
      <w:r>
        <w:rPr>
          <w:b/>
          <w:bCs/>
        </w:rPr>
        <w:t xml:space="preserve">Appendix F.2</w:t>
      </w:r>
      <w:r>
        <w:t xml:space="preserve">:</w:t>
      </w:r>
    </w:p>
    <w:p>
      <w:pPr>
        <w:pStyle w:val="Compact"/>
        <w:numPr>
          <w:ilvl w:val="0"/>
          <w:numId w:val="1006"/>
        </w:numPr>
      </w:pPr>
      <w:r>
        <w:t xml:space="preserve">Mailing address (Wichita-area)</w:t>
      </w:r>
    </w:p>
    <w:p>
      <w:pPr>
        <w:pStyle w:val="Compact"/>
        <w:numPr>
          <w:ilvl w:val="0"/>
          <w:numId w:val="1006"/>
        </w:numPr>
      </w:pPr>
      <w:r>
        <w:t xml:space="preserve">Contact email</w:t>
      </w:r>
    </w:p>
    <w:p>
      <w:pPr>
        <w:pStyle w:val="Compact"/>
        <w:numPr>
          <w:ilvl w:val="0"/>
          <w:numId w:val="1006"/>
        </w:numPr>
      </w:pPr>
      <w:r>
        <w:t xml:space="preserve">Year established</w:t>
      </w:r>
    </w:p>
    <w:p>
      <w:pPr>
        <w:pStyle w:val="Compact"/>
        <w:numPr>
          <w:ilvl w:val="0"/>
          <w:numId w:val="1006"/>
        </w:numPr>
      </w:pPr>
      <w:r>
        <w:t xml:space="preserve">Number of employees / coaches</w:t>
      </w:r>
    </w:p>
    <w:p>
      <w:pPr>
        <w:pStyle w:val="Compact"/>
        <w:numPr>
          <w:ilvl w:val="0"/>
          <w:numId w:val="1006"/>
        </w:numPr>
      </w:pPr>
      <w:r>
        <w:t xml:space="preserve">Business classification (LLC / Sole Proprietorship / etc.)</w:t>
      </w:r>
    </w:p>
    <w:p>
      <w:pPr>
        <w:pStyle w:val="Compact"/>
        <w:numPr>
          <w:ilvl w:val="0"/>
          <w:numId w:val="1006"/>
        </w:numPr>
      </w:pPr>
      <w:r>
        <w:t xml:space="preserve">Registered in Kansas — Y / N</w:t>
      </w:r>
    </w:p>
    <w:p>
      <w:pPr>
        <w:pStyle w:val="Compact"/>
        <w:numPr>
          <w:ilvl w:val="0"/>
          <w:numId w:val="1006"/>
        </w:numPr>
      </w:pPr>
      <w:r>
        <w:rPr>
          <w:b/>
          <w:bCs/>
        </w:rPr>
        <w:t xml:space="preserve">TEDx talk URL</w:t>
      </w:r>
      <w:r>
        <w:t xml:space="preserve"> </w:t>
      </w:r>
      <w:r>
        <w:t xml:space="preserve">referenced in §3.3 — verify and provide canonical link</w:t>
      </w:r>
    </w:p>
    <w:p>
      <w:pPr>
        <w:pStyle w:val="Compact"/>
        <w:numPr>
          <w:ilvl w:val="0"/>
          <w:numId w:val="1006"/>
        </w:numPr>
      </w:pPr>
      <w:r>
        <w:t xml:space="preserve">UEI (if SAM-registered; not required for sub)</w:t>
      </w:r>
    </w:p>
    <w:p>
      <w:pPr>
        <w:pStyle w:val="Compact"/>
        <w:numPr>
          <w:ilvl w:val="0"/>
          <w:numId w:val="1006"/>
        </w:numPr>
      </w:pPr>
      <w:r>
        <w:rPr>
          <w:b/>
          <w:bCs/>
        </w:rPr>
        <w:t xml:space="preserve">Current Certificate of Insurance</w:t>
      </w:r>
      <w:r>
        <w:t xml:space="preserve"> </w:t>
      </w:r>
      <w:r>
        <w:t xml:space="preserve">for Appendix G</w:t>
      </w:r>
    </w:p>
    <w:p>
      <w:pPr>
        <w:pStyle w:val="Compact"/>
        <w:numPr>
          <w:ilvl w:val="0"/>
          <w:numId w:val="1006"/>
        </w:numPr>
      </w:pPr>
      <w:r>
        <w:rPr>
          <w:b/>
          <w:bCs/>
        </w:rPr>
        <w:t xml:space="preserve">3 professional references</w:t>
      </w:r>
      <w:r>
        <w:t xml:space="preserve"> </w:t>
      </w:r>
      <w:r>
        <w:t xml:space="preserve">for Appendix E</w:t>
      </w:r>
    </w:p>
    <w:bookmarkEnd w:id="27"/>
    <w:bookmarkStart w:id="28" w:name="X6d649d973c193ed88306aa4af32c20d7be82f4d"/>
    <w:p>
      <w:pPr>
        <w:pStyle w:val="Heading3"/>
      </w:pPr>
      <w:r>
        <w:t xml:space="preserve">🟩 TCAF / Dr. Terry D. Flood — mostly complete, two small fills</w:t>
      </w:r>
    </w:p>
    <w:p>
      <w:pPr>
        <w:pStyle w:val="FirstParagraph"/>
      </w:pPr>
      <w:r>
        <w:t xml:space="preserve">For</w:t>
      </w:r>
      <w:r>
        <w:t xml:space="preserve"> </w:t>
      </w:r>
      <w:r>
        <w:rPr>
          <w:b/>
          <w:bCs/>
        </w:rPr>
        <w:t xml:space="preserve">Appendix F.2</w:t>
      </w:r>
      <w:r>
        <w:t xml:space="preserve"> </w:t>
      </w:r>
      <w:r>
        <w:t xml:space="preserve">(HIS-retained sub due-diligence file). Pre-filled values are listed below; only two fields remain:</w:t>
      </w:r>
    </w:p>
    <w:p>
      <w:pPr>
        <w:pStyle w:val="Compact"/>
        <w:numPr>
          <w:ilvl w:val="0"/>
          <w:numId w:val="1007"/>
        </w:numPr>
      </w:pPr>
      <w:r>
        <w:t xml:space="preserve">Legal name, mailing address (TX), 501(c)(3) status under §170(b)(1)(A)(vi) (Letter 947, effective Jan 14, 2026), EIN 41-3618003, UEI KDDVD1FGLW35, CAGE 209N1, SAM Active to May 6 2027, Secret-level clearance Active →</w:t>
      </w:r>
      <w:r>
        <w:t xml:space="preserve"> </w:t>
      </w:r>
      <w:r>
        <w:rPr>
          <w:b/>
          <w:bCs/>
        </w:rPr>
        <w:t xml:space="preserve">pre-filled below in Appendix F.2</w:t>
      </w:r>
      <w:r>
        <w:t xml:space="preserve">.</w:t>
      </w:r>
    </w:p>
    <w:p>
      <w:pPr>
        <w:pStyle w:val="FirstParagraph"/>
      </w:pPr>
      <w:r>
        <w:t xml:space="preserve">Still owed by Dr. Flood:</w:t>
      </w:r>
    </w:p>
    <w:p>
      <w:pPr>
        <w:pStyle w:val="Compact"/>
        <w:numPr>
          <w:ilvl w:val="0"/>
          <w:numId w:val="1008"/>
        </w:numPr>
      </w:pPr>
      <w:r>
        <w:rPr>
          <w:b/>
          <w:bCs/>
        </w:rPr>
        <w:t xml:space="preserve">Year of TX incorporation</w:t>
      </w:r>
      <w:r>
        <w:t xml:space="preserve"> </w:t>
      </w:r>
      <w:r>
        <w:t xml:space="preserve">(TCAF entity formation date)</w:t>
      </w:r>
    </w:p>
    <w:p>
      <w:pPr>
        <w:pStyle w:val="Compact"/>
        <w:numPr>
          <w:ilvl w:val="0"/>
          <w:numId w:val="1008"/>
        </w:numPr>
      </w:pPr>
      <w:r>
        <w:rPr>
          <w:b/>
          <w:bCs/>
        </w:rPr>
        <w:t xml:space="preserve">Number of staff / volunteers</w:t>
      </w:r>
      <w:r>
        <w:t xml:space="preserve"> </w:t>
      </w:r>
      <w:r>
        <w:t xml:space="preserve">(current head-count snapshot for the F.2 row)</w:t>
      </w:r>
    </w:p>
    <w:p>
      <w:pPr>
        <w:pStyle w:val="Compact"/>
        <w:numPr>
          <w:ilvl w:val="0"/>
          <w:numId w:val="1008"/>
        </w:numPr>
      </w:pPr>
      <w:r>
        <w:rPr>
          <w:b/>
          <w:bCs/>
        </w:rPr>
        <w:t xml:space="preserve">3 professional references</w:t>
      </w:r>
      <w:r>
        <w:t xml:space="preserve"> </w:t>
      </w:r>
      <w:r>
        <w:t xml:space="preserve">for Appendix E (TCAF / Dr. Flood public-sector implementations)</w:t>
      </w:r>
    </w:p>
    <w:p>
      <w:pPr>
        <w:pStyle w:val="Compact"/>
        <w:numPr>
          <w:ilvl w:val="0"/>
          <w:numId w:val="1008"/>
        </w:numPr>
      </w:pPr>
      <w:r>
        <w:rPr>
          <w:b/>
          <w:bCs/>
        </w:rPr>
        <w:t xml:space="preserve">Current Certificate of Insurance</w:t>
      </w:r>
      <w:r>
        <w:t xml:space="preserve"> </w:t>
      </w:r>
      <w:r>
        <w:t xml:space="preserve">for TCAF for Appendix G</w:t>
      </w:r>
    </w:p>
    <w:bookmarkEnd w:id="28"/>
    <w:bookmarkStart w:id="29" w:name="X1af53ec131960714c26f61627928d16d4e7dc59"/>
    <w:p>
      <w:pPr>
        <w:pStyle w:val="Heading3"/>
      </w:pPr>
      <w:r>
        <w:t xml:space="preserve">📋 Team-wide (Eric coordinates)</w:t>
      </w:r>
    </w:p>
    <w:p>
      <w:pPr>
        <w:pStyle w:val="Compact"/>
        <w:numPr>
          <w:ilvl w:val="0"/>
          <w:numId w:val="1009"/>
        </w:numPr>
      </w:pPr>
      <w:r>
        <w:rPr>
          <w:b/>
          <w:bCs/>
        </w:rPr>
        <w:t xml:space="preserve">Appendix C signature</w:t>
      </w:r>
      <w:r>
        <w:t xml:space="preserve"> </w:t>
      </w:r>
      <w:r>
        <w:t xml:space="preserve">— Eric signs Addendum #1 + Addendum #2 acknowledgments and dates</w:t>
      </w:r>
    </w:p>
    <w:p>
      <w:pPr>
        <w:pStyle w:val="Compact"/>
        <w:numPr>
          <w:ilvl w:val="0"/>
          <w:numId w:val="1009"/>
        </w:numPr>
      </w:pPr>
      <w:r>
        <w:rPr>
          <w:b/>
          <w:bCs/>
        </w:rPr>
        <w:t xml:space="preserve">Final WCAG audit cost decision</w:t>
      </w:r>
      <w:r>
        <w:t xml:space="preserve"> </w:t>
      </w:r>
      <w:r>
        <w:t xml:space="preserve">— absorb $8K–25K into the $45 PEPM Platform line</w:t>
      </w:r>
      <w:r>
        <w:t xml:space="preserve"> </w:t>
      </w:r>
      <w:r>
        <w:rPr>
          <w:i/>
          <w:iCs/>
        </w:rPr>
        <w:t xml:space="preserve">(current draft)</w:t>
      </w:r>
      <w:r>
        <w:t xml:space="preserve"> </w:t>
      </w:r>
      <w:r>
        <w:t xml:space="preserve">or surface as an Optional Pro Services line item</w:t>
      </w:r>
    </w:p>
    <w:p>
      <w:pPr>
        <w:pStyle w:val="Compact"/>
        <w:numPr>
          <w:ilvl w:val="0"/>
          <w:numId w:val="1009"/>
        </w:numPr>
      </w:pPr>
      <w:r>
        <w:rPr>
          <w:b/>
          <w:bCs/>
        </w:rPr>
        <w:t xml:space="preserve">Eric sign-off</w:t>
      </w:r>
      <w:r>
        <w:t xml:space="preserve"> </w:t>
      </w:r>
      <w:r>
        <w:t xml:space="preserve">on CPI-Medical 3.5%/yr cap (§11.4) and the 5% outperformance bonus + failure-to-perform forfeiture (§8.5)</w:t>
      </w:r>
    </w:p>
    <w:bookmarkEnd w:id="29"/>
    <w:bookmarkStart w:id="30" w:name="marker-count"/>
    <w:p>
      <w:pPr>
        <w:pStyle w:val="Heading3"/>
      </w:pPr>
      <w:r>
        <w:t xml:space="preserve">Marker count</w:t>
      </w:r>
    </w:p>
    <w:p>
      <w:pPr>
        <w:pStyle w:val="FirstParagraph"/>
      </w:pPr>
      <w:r>
        <w:t xml:space="preserve">Body of proposal: 40 →</w:t>
      </w:r>
      <w:r>
        <w:t xml:space="preserve"> </w:t>
      </w:r>
      <w:r>
        <w:rPr>
          <w:b/>
          <w:bCs/>
        </w:rPr>
        <w:t xml:space="preserve">27 remaining</w:t>
      </w:r>
      <w:r>
        <w:t xml:space="preserve"> </w:t>
      </w:r>
      <w:r>
        <w:t xml:space="preserve">{</w:t>
      </w:r>
      <w:r>
        <w:rPr>
          <w:rStyle w:val="VerbatimChar"/>
        </w:rPr>
        <w:t xml:space="preserve">{{ACTION REQUIRED}}</w:t>
      </w:r>
      <w:r>
        <w:t xml:space="preserve">} markers after TCAF fills, all owner-tagged. See per-marker locations by searching the file for</w:t>
      </w:r>
      <w:r>
        <w:t xml:space="preserve"> </w:t>
      </w:r>
      <w:r>
        <w:rPr>
          <w:rStyle w:val="VerbatimChar"/>
        </w:rPr>
        <w:t xml:space="preserve">ACTION REQUIRED —</w:t>
      </w:r>
      <w:r>
        <w:t xml:space="preserve">.</w:t>
      </w:r>
    </w:p>
    <w:p>
      <w:r>
        <w:pict>
          <v:rect style="width:0;height:1.5pt" o:hralign="center" o:hrstd="t" o:hr="t"/>
        </w:pict>
      </w:r>
    </w:p>
    <w:bookmarkEnd w:id="30"/>
    <w:bookmarkEnd w:id="31"/>
    <w:bookmarkEnd w:id="32"/>
    <w:bookmarkStart w:id="33" w:name="section-1--cover-letter"/>
    <w:p>
      <w:pPr>
        <w:pStyle w:val="Heading1"/>
      </w:pPr>
      <w:r>
        <w:t xml:space="preserve">Section 1 — Cover Letter</w:t>
      </w:r>
    </w:p>
    <w:p>
      <w:pPr>
        <w:pStyle w:val="FirstParagraph"/>
      </w:pPr>
      <w:r>
        <w:rPr>
          <w:b/>
          <w:bCs/>
        </w:rPr>
        <w:t xml:space="preserve">To:</w:t>
      </w:r>
      <w:r>
        <w:t xml:space="preserve"> </w:t>
      </w:r>
      <w:r>
        <w:t xml:space="preserve">Ms. Tammy Culley, Purchasing Agent, Sedgwick County</w:t>
      </w:r>
    </w:p>
    <w:p>
      <w:pPr>
        <w:pStyle w:val="BodyText"/>
      </w:pPr>
      <w:r>
        <w:t xml:space="preserve">Dear Ms. Culley,</w:t>
      </w:r>
    </w:p>
    <w:p>
      <w:pPr>
        <w:pStyle w:val="BodyText"/>
      </w:pPr>
      <w:r>
        <w:t xml:space="preserve">On behalf of Love Clinic &amp; Med Spa, LLC — a Kansas-domiciled clinical practice in continuous operation in Wichita since January 2017 — and our three named subcontractors (Hargrave Innovative Solutions for contract administration and compliance, Vanntastic Solutions for behavioral coaching, and The COLLABORATIVE Advocate Foundation for the digital platform and analytics), I am pleased to submit our proposal in response to RFP #26-0028, Employee Ancillary Benefits — Weight Loss / Weight Management Program.</w:t>
      </w:r>
    </w:p>
    <w:p>
      <w:pPr>
        <w:pStyle w:val="BodyText"/>
      </w:pPr>
      <w:r>
        <w:t xml:space="preserve">We acknowledge receipt of Addendum #1 and Addendum #2 (issued May 22, 2026), and signed acknowledgments are included in Appendix C of this proposal.</w:t>
      </w:r>
    </w:p>
    <w:p>
      <w:pPr>
        <w:pStyle w:val="BodyText"/>
      </w:pPr>
      <w:r>
        <w:t xml:space="preserve">Our team is local. Three of our four partners are based in Wichita; the fourth is a U.S. Army retiree with deep public-sector implementation experience. We understand Sedgwick County not as a logo on a contract but as our neighbors, our friends, and our families. Several of our partners' family members are on the County medical plan today.</w:t>
      </w:r>
    </w:p>
    <w:p>
      <w:pPr>
        <w:pStyle w:val="BodyText"/>
      </w:pPr>
      <w:r>
        <w:t xml:space="preserve">We have read Addendum #2 carefully. The County's disclosure that 373 members are currently on GLP-1 therapy — with 705 members having used a GLP-1 in just the past twelve months — tells us that the County is already absorbing a significant pharmacy-cost burden, and the ~47% twelve-month non-continuation rate (consistent with published unmanaged-GLP-1 patterns of 30–50%) tells us that prior authorization alone is not converting that spend into sustained outcomes. Our proposal is designed around capturing that gap.</w:t>
      </w:r>
    </w:p>
    <w:p>
      <w:pPr>
        <w:pStyle w:val="BodyText"/>
      </w:pPr>
      <w:r>
        <w:t xml:space="preserve">We believe this proposal represents the best value available to Sedgwick County under RFP #26-0028:</w:t>
      </w:r>
    </w:p>
    <w:p>
      <w:pPr>
        <w:pStyle w:val="Compact"/>
        <w:numPr>
          <w:ilvl w:val="0"/>
          <w:numId w:val="1010"/>
        </w:numPr>
      </w:pPr>
      <w:r>
        <w:t xml:space="preserve">We are the only respondent with a fully integrated four-partner structure that combines prescribing clinical capability (Dr. Chela Love, DNP, FNP-C — Board-Certified Family Nurse Practitioner with nine years operating Love Clinic &amp; Med Spa, LLC in Wichita and an established GLP-1 / GLP-2 patient panel), wellness coaching and behavioral engagement (Dr. J. Michelle Vann), digital platform and engagement systems (Dr. Terry D. Flood, DHA, President of The COLLABORATIVE Advocate Foundation — SAM-active, 501(c)(3)-determined, active Secret-level clearance), and disciplined prime-contractor government compliance (Hargrave Innovative Solutions).</w:t>
      </w:r>
    </w:p>
    <w:p>
      <w:pPr>
        <w:pStyle w:val="Compact"/>
        <w:numPr>
          <w:ilvl w:val="0"/>
          <w:numId w:val="1010"/>
        </w:numPr>
      </w:pPr>
      <w:r>
        <w:t xml:space="preserve">Our proposed program model targets a modeled Year-1 capture opportunity of approximately $2.09 million within the County's current 373-member GLP-1 cohort, addressable through migration from unmanaged to managed-protocol therapy, while also serving the broader 1,525 at-risk adult population with evidence-based lifestyle and clinical pathways.</w:t>
      </w:r>
    </w:p>
    <w:p>
      <w:pPr>
        <w:pStyle w:val="Compact"/>
        <w:numPr>
          <w:ilvl w:val="0"/>
          <w:numId w:val="1010"/>
        </w:numPr>
      </w:pPr>
      <w:r>
        <w:t xml:space="preserve">Our technology platform is purpose-built to integrate with — not replace — UnitedHealthcare (TPA), OptumRx (PBM), and Rally (current wellness platform). We coordinate; we do not displace.</w:t>
      </w:r>
    </w:p>
    <w:p>
      <w:pPr>
        <w:pStyle w:val="Compact"/>
        <w:numPr>
          <w:ilvl w:val="0"/>
          <w:numId w:val="1010"/>
        </w:numPr>
      </w:pPr>
      <w:r>
        <w:t xml:space="preserve">We are HIPAA-compliant, prepared to execute the County's standard Business Associate Agreement at award, and willing to discuss at-risk performance-based pricing tied to engagement, GLP-1 utilization, and cost savings — the three KPIs the County named in the Addendum.</w:t>
      </w:r>
    </w:p>
    <w:p>
      <w:pPr>
        <w:pStyle w:val="FirstParagraph"/>
      </w:pPr>
      <w:r>
        <w:t xml:space="preserve">All communication regarding this proposal will route through me as the Prime Contractor's authorized representative. As the licensed clinician who will personally direct the clinical program, I am personally accountable for our team's performance under any awarded contract.</w:t>
      </w:r>
    </w:p>
    <w:p>
      <w:pPr>
        <w:pStyle w:val="BodyText"/>
      </w:pPr>
      <w:r>
        <w:t xml:space="preserve">Thank you for your consideration. We look forward to the opportunity to serve Sedgwick County.</w:t>
      </w:r>
    </w:p>
    <w:p>
      <w:pPr>
        <w:pStyle w:val="BodyText"/>
      </w:pPr>
      <w:r>
        <w:t xml:space="preserve">Respectfully submitted,</w:t>
      </w:r>
    </w:p>
    <w:p>
      <w:pPr>
        <w:pStyle w:val="BodyText"/>
      </w:pPr>
      <w:r>
        <w:t xml:space="preserve">________________________________</w:t>
      </w:r>
    </w:p>
    <w:p>
      <w:pPr>
        <w:pStyle w:val="BodyText"/>
      </w:pPr>
      <w:r>
        <w:rPr>
          <w:b/>
          <w:bCs/>
        </w:rPr>
        <w:t xml:space="preserve">Dr. Chela Love, DNP, FNP-C, President</w:t>
      </w:r>
      <w:r>
        <w:t xml:space="preserve"> </w:t>
      </w:r>
      <w:r>
        <w:t xml:space="preserve">Love Clinic &amp; Med Spa, LLC (Prime Contractor)</w:t>
      </w:r>
      <w:r>
        <w:t xml:space="preserve"> </w:t>
      </w:r>
      <w:hyperlink r:id="rId22">
        <w:r>
          <w:rPr>
            <w:rStyle w:val="Hyperlink"/>
          </w:rPr>
          <w:t xml:space="preserve">chelalove@loveclinicmedspa.com</w:t>
        </w:r>
      </w:hyperlink>
      <w:r>
        <w:t xml:space="preserve"> </w:t>
      </w:r>
      <w:r>
        <w:t xml:space="preserve">· 316-669-4770</w:t>
      </w:r>
    </w:p>
    <w:p>
      <w:r>
        <w:pict>
          <v:rect style="width:0;height:1.5pt" o:hralign="center" o:hrstd="t" o:hr="t"/>
        </w:pict>
      </w:r>
    </w:p>
    <w:bookmarkEnd w:id="33"/>
    <w:bookmarkStart w:id="38" w:name="section-2--executive-summary"/>
    <w:p>
      <w:pPr>
        <w:pStyle w:val="Heading1"/>
      </w:pPr>
      <w:r>
        <w:t xml:space="preserve">Section 2 — Executive Summary</w:t>
      </w:r>
    </w:p>
    <w:bookmarkStart w:id="34" w:name="X38a27e2273a5f59847da2f06852ee8ce89a1edc"/>
    <w:p>
      <w:pPr>
        <w:pStyle w:val="Heading2"/>
      </w:pPr>
      <w:r>
        <w:t xml:space="preserve">2.1 The three-sentence thesis</w:t>
      </w:r>
    </w:p>
    <w:p>
      <w:pPr>
        <w:pStyle w:val="FirstParagraph"/>
      </w:pPr>
      <w:r>
        <w:t xml:space="preserve">Sedgwick County is already spending approximately $5.15M per year on unmanaged GLP-1 medications for 373 employees and dependents, with a ~47% twelve-month non-continuation rate — consistent with published unmanaged-GLP-1 patterns of 30–50% — that demonstrates prior authorization alone is not working. Vitality's integrated clinical-plus-coaching managed-care protocol represents a</w:t>
      </w:r>
      <w:r>
        <w:t xml:space="preserve"> </w:t>
      </w:r>
      <w:r>
        <w:rPr>
          <w:b/>
          <w:bCs/>
        </w:rPr>
        <w:t xml:space="preserve">modeled Year-1 capture opportunity of approximately $2.09M</w:t>
      </w:r>
      <w:r>
        <w:t xml:space="preserve"> </w:t>
      </w:r>
      <w:r>
        <w:t xml:space="preserve">against that current spend, addressable through migration from unmanaged to managed-protocol therapy and nearly funding the entire program; we also serve the broader 1,525 at-risk adult population with evidence-based lifestyle and clinical pathways. We build with, not against, UnitedHealthcare, OptumRx, and Rally; we displace no existing vendor; and we are the only respondent purpose-built for the four-partner program design model the County asked for.</w:t>
      </w:r>
    </w:p>
    <w:bookmarkEnd w:id="34"/>
    <w:bookmarkStart w:id="35" w:name="X55412e43533851937fe2f2614227cc45aee7d0c"/>
    <w:p>
      <w:pPr>
        <w:pStyle w:val="Heading2"/>
      </w:pPr>
      <w:r>
        <w:t xml:space="preserve">2.2 What Vitality is</w:t>
      </w:r>
    </w:p>
    <w:p>
      <w:pPr>
        <w:pStyle w:val="FirstParagraph"/>
      </w:pPr>
      <w:r>
        <w:t xml:space="preserve">Vitality is a comprehensive, virtual-only weight management program designed for self-insured public-sector employers. The program combines:</w:t>
      </w:r>
    </w:p>
    <w:p>
      <w:pPr>
        <w:pStyle w:val="Compact"/>
        <w:numPr>
          <w:ilvl w:val="0"/>
          <w:numId w:val="1011"/>
        </w:numPr>
      </w:pPr>
      <w:r>
        <w:rPr>
          <w:b/>
          <w:bCs/>
        </w:rPr>
        <w:t xml:space="preserve">Three evidence-based clinical pathways</w:t>
      </w:r>
      <w:r>
        <w:t xml:space="preserve"> </w:t>
      </w:r>
      <w:r>
        <w:t xml:space="preserve">(Lifestyle, GLP-1-Managed, and Surgical-Coordinated), each anchored in published evidence (NIH/DPP, STEP Trials, LOOK AHEAD, RAND).</w:t>
      </w:r>
    </w:p>
    <w:p>
      <w:pPr>
        <w:pStyle w:val="Compact"/>
        <w:numPr>
          <w:ilvl w:val="0"/>
          <w:numId w:val="1011"/>
        </w:numPr>
      </w:pPr>
      <w:r>
        <w:rPr>
          <w:b/>
          <w:bCs/>
        </w:rPr>
        <w:t xml:space="preserve">A 5-phase member journey</w:t>
      </w:r>
      <w:r>
        <w:t xml:space="preserve"> </w:t>
      </w:r>
      <w:r>
        <w:t xml:space="preserve">(onboarding, baseline, intensive intervention, maintenance, graduation) overseen by Dr. Chela Love, DNP, FNP-C and her clinical team at Love Clinic &amp; Med Spa, LLC, mapped 1:1 to Love Clinic's already-operating 10-step GLP intake-to-maintenance workflow (Appendix I).</w:t>
      </w:r>
    </w:p>
    <w:p>
      <w:pPr>
        <w:pStyle w:val="Compact"/>
        <w:numPr>
          <w:ilvl w:val="0"/>
          <w:numId w:val="1011"/>
        </w:numPr>
      </w:pPr>
      <w:r>
        <w:rPr>
          <w:b/>
          <w:bCs/>
        </w:rPr>
        <w:t xml:space="preserve">A behavioral coaching engine</w:t>
      </w:r>
      <w:r>
        <w:t xml:space="preserve"> </w:t>
      </w:r>
      <w:r>
        <w:t xml:space="preserve">led by Dr. J. Michelle Vann, with weekly check-ins, lifestyle accountability, and family/youth program extensions.</w:t>
      </w:r>
    </w:p>
    <w:p>
      <w:pPr>
        <w:pStyle w:val="Compact"/>
        <w:numPr>
          <w:ilvl w:val="0"/>
          <w:numId w:val="1011"/>
        </w:numPr>
      </w:pPr>
      <w:r>
        <w:rPr>
          <w:b/>
          <w:bCs/>
        </w:rPr>
        <w:t xml:space="preserve">A digital Progressive Web App platform</w:t>
      </w:r>
      <w:r>
        <w:t xml:space="preserve"> </w:t>
      </w:r>
      <w:r>
        <w:t xml:space="preserve">(no app-store install required) built and operated by Dr. Terry D. Flood's team at The COLLABORATIVE Advocate Foundation, with FHIR/HL7 integration, persistent-memory AI coaching, and HIPAA-grade security.</w:t>
      </w:r>
    </w:p>
    <w:p>
      <w:pPr>
        <w:pStyle w:val="Compact"/>
        <w:numPr>
          <w:ilvl w:val="0"/>
          <w:numId w:val="1011"/>
        </w:numPr>
      </w:pPr>
      <w:r>
        <w:rPr>
          <w:b/>
          <w:bCs/>
        </w:rPr>
        <w:t xml:space="preserve">Prime contractor administration</w:t>
      </w:r>
      <w:r>
        <w:t xml:space="preserve"> </w:t>
      </w:r>
      <w:r>
        <w:t xml:space="preserve">by Hargrave Innovative Solutions, providing government contract management, compliance oversight, reporting coordination, and single-point accountability.</w:t>
      </w:r>
    </w:p>
    <w:bookmarkEnd w:id="35"/>
    <w:bookmarkStart w:id="36" w:name="Xd5b5a5ee55602c110b29c891f18a5bcc589acc3"/>
    <w:p>
      <w:pPr>
        <w:pStyle w:val="Heading2"/>
      </w:pPr>
      <w:r>
        <w:t xml:space="preserve">2.3 Why Vitality wins on the County's three named KPIs</w:t>
      </w:r>
    </w:p>
    <w:p>
      <w:pPr>
        <w:pStyle w:val="FirstParagraph"/>
      </w:pPr>
      <w:r>
        <w:t xml:space="preserve">The County named three KPIs in Addendum #2, in this order:</w:t>
      </w:r>
    </w:p>
    <w:p>
      <w:pPr>
        <w:pStyle w:val="Compact"/>
        <w:numPr>
          <w:ilvl w:val="0"/>
          <w:numId w:val="1012"/>
        </w:numPr>
      </w:pPr>
      <w:r>
        <w:rPr>
          <w:b/>
          <w:bCs/>
        </w:rPr>
        <w:t xml:space="preserve">Member engagement</w:t>
      </w:r>
      <w:r>
        <w:t xml:space="preserve"> </w:t>
      </w:r>
      <w:r>
        <w:t xml:space="preserve">— Vitality's VITA AI persistent-memory advisor remembers every prior conversation with each member and resumes context across sessions. Combined with Dr. Vann's weekly behavioral cadence, the program is designed to sustain engagement over 12–24 months, not just at signup.</w:t>
      </w:r>
    </w:p>
    <w:p>
      <w:pPr>
        <w:pStyle w:val="Compact"/>
        <w:numPr>
          <w:ilvl w:val="0"/>
          <w:numId w:val="1012"/>
        </w:numPr>
      </w:pPr>
      <w:r>
        <w:rPr>
          <w:b/>
          <w:bCs/>
        </w:rPr>
        <w:t xml:space="preserve">Proper use of GLP-1s</w:t>
      </w:r>
      <w:r>
        <w:t xml:space="preserve"> </w:t>
      </w:r>
      <w:r>
        <w:t xml:space="preserve">— Dr. Love's structured titration protocol, OptumRx fill-history reconciliation, and side-effect management directly address the non-continuation pattern visible in the County's 705 → 373 cohort data.</w:t>
      </w:r>
    </w:p>
    <w:p>
      <w:pPr>
        <w:pStyle w:val="Compact"/>
        <w:numPr>
          <w:ilvl w:val="0"/>
          <w:numId w:val="1012"/>
        </w:numPr>
      </w:pPr>
      <w:r>
        <w:rPr>
          <w:b/>
          <w:bCs/>
        </w:rPr>
        <w:t xml:space="preserve">Cost savings</w:t>
      </w:r>
      <w:r>
        <w:t xml:space="preserve"> </w:t>
      </w:r>
      <w:r>
        <w:t xml:space="preserve">— modeled Year-1 economic opportunity of approximately $3.05M (the $2.09M GLP-1 capture plus $675K medical and $282K productivity savings) against a $1.71M Year-1 program cost.</w:t>
      </w:r>
    </w:p>
    <w:bookmarkEnd w:id="36"/>
    <w:bookmarkStart w:id="37" w:name="X025ea4490da14b124b905c7fd394b45e3fd0a13"/>
    <w:p>
      <w:pPr>
        <w:pStyle w:val="Heading2"/>
      </w:pPr>
      <w:r>
        <w:t xml:space="preserve">2.4 Why Vitality wins on the County's procurement preferences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County preference (from Addendum #2 and RFP)</w:t>
            </w:r>
          </w:p>
        </w:tc>
        <w:tc>
          <w:tcPr/>
          <w:p>
            <w:pPr>
              <w:pStyle w:val="Compact"/>
              <w:jc w:val="left"/>
            </w:pPr>
            <w:r>
              <w:t xml:space="preserve">Vitality alignment</w:t>
            </w:r>
          </w:p>
        </w:tc>
      </w:tr>
      <w:tr>
        <w:tc>
          <w:tcPr/>
          <w:p>
            <w:pPr>
              <w:pStyle w:val="Compact"/>
              <w:jc w:val="left"/>
            </w:pPr>
            <w:r>
              <w:t xml:space="preserve">Comprehensive solution, not administration</w:t>
            </w:r>
          </w:p>
        </w:tc>
        <w:tc>
          <w:tcPr/>
          <w:p>
            <w:pPr>
              <w:pStyle w:val="Compact"/>
              <w:jc w:val="left"/>
            </w:pPr>
            <w:r>
              <w:t xml:space="preserve">Four-partner integrated team designs the program end-to-end</w:t>
            </w:r>
          </w:p>
        </w:tc>
      </w:tr>
      <w:tr>
        <w:tc>
          <w:tcPr/>
          <w:p>
            <w:pPr>
              <w:pStyle w:val="Compact"/>
              <w:jc w:val="left"/>
            </w:pPr>
            <w:r>
              <w:t xml:space="preserve">Support-focused, not compliance-focused</w:t>
            </w:r>
          </w:p>
        </w:tc>
        <w:tc>
          <w:tcPr/>
          <w:p>
            <w:pPr>
              <w:pStyle w:val="Compact"/>
              <w:jc w:val="left"/>
            </w:pPr>
            <w:r>
              <w:t xml:space="preserve">Coaching-plus-clinical wraparound; no PBM-style claim denial</w:t>
            </w:r>
          </w:p>
        </w:tc>
      </w:tr>
      <w:tr>
        <w:tc>
          <w:tcPr/>
          <w:p>
            <w:pPr>
              <w:pStyle w:val="Compact"/>
              <w:jc w:val="left"/>
            </w:pPr>
            <w:r>
              <w:t xml:space="preserve">Virtual delivery only</w:t>
            </w:r>
          </w:p>
        </w:tc>
        <w:tc>
          <w:tcPr/>
          <w:p>
            <w:pPr>
              <w:pStyle w:val="Compact"/>
              <w:jc w:val="left"/>
            </w:pPr>
            <w:r>
              <w:t xml:space="preserve">PWA-native platform; no onsite costs</w:t>
            </w:r>
          </w:p>
        </w:tc>
      </w:tr>
      <w:tr>
        <w:tc>
          <w:tcPr/>
          <w:p>
            <w:pPr>
              <w:pStyle w:val="Compact"/>
              <w:jc w:val="left"/>
            </w:pPr>
            <w:r>
              <w:t xml:space="preserve">Adults 18+</w:t>
            </w:r>
          </w:p>
        </w:tc>
        <w:tc>
          <w:tcPr/>
          <w:p>
            <w:pPr>
              <w:pStyle w:val="Compact"/>
              <w:jc w:val="left"/>
            </w:pPr>
            <w:r>
              <w:t xml:space="preserve">Adult-only clinical scope; simplified pathway</w:t>
            </w:r>
          </w:p>
        </w:tc>
      </w:tr>
      <w:tr>
        <w:tc>
          <w:tcPr/>
          <w:p>
            <w:pPr>
              <w:pStyle w:val="Compact"/>
              <w:jc w:val="left"/>
            </w:pPr>
            <w:r>
              <w:t xml:space="preserve">Integration with existing UHC / OptumRx / Rally</w:t>
            </w:r>
          </w:p>
        </w:tc>
        <w:tc>
          <w:tcPr/>
          <w:p>
            <w:pPr>
              <w:pStyle w:val="Compact"/>
              <w:jc w:val="left"/>
            </w:pPr>
            <w:r>
              <w:t xml:space="preserve">Coexistence architecture; FHIR/HL7-ready</w:t>
            </w:r>
          </w:p>
        </w:tc>
      </w:tr>
      <w:tr>
        <w:tc>
          <w:tcPr/>
          <w:p>
            <w:pPr>
              <w:pStyle w:val="Compact"/>
              <w:jc w:val="left"/>
            </w:pPr>
            <w:r>
              <w:t xml:space="preserve">Either prescribing or coaching clinical model acceptable</w:t>
            </w:r>
          </w:p>
        </w:tc>
        <w:tc>
          <w:tcPr/>
          <w:p>
            <w:pPr>
              <w:pStyle w:val="Compact"/>
              <w:jc w:val="left"/>
            </w:pPr>
            <w:r>
              <w:t xml:space="preserve">Vitality offers both inside a single program</w:t>
            </w:r>
          </w:p>
        </w:tc>
      </w:tr>
      <w:tr>
        <w:tc>
          <w:tcPr/>
          <w:p>
            <w:pPr>
              <w:pStyle w:val="Compact"/>
              <w:jc w:val="left"/>
            </w:pPr>
            <w:r>
              <w:t xml:space="preserve">KPI focus: engagement, GLP-1 use, cost savings</w:t>
            </w:r>
          </w:p>
        </w:tc>
        <w:tc>
          <w:tcPr/>
          <w:p>
            <w:pPr>
              <w:pStyle w:val="Compact"/>
              <w:jc w:val="left"/>
            </w:pPr>
            <w:r>
              <w:t xml:space="preserve">Native dashboard and quarterly report structure aligned to these three metrics</w:t>
            </w:r>
          </w:p>
        </w:tc>
      </w:tr>
    </w:tbl>
    <w:p>
      <w:r>
        <w:pict>
          <v:rect style="width:0;height:1.5pt" o:hralign="center" o:hrstd="t" o:hr="t"/>
        </w:pict>
      </w:r>
    </w:p>
    <w:bookmarkEnd w:id="37"/>
    <w:bookmarkEnd w:id="38"/>
    <w:bookmarkStart w:id="48" w:name="X2f26747e9eb3c974358c53bb2accc4143ed366d"/>
    <w:p>
      <w:pPr>
        <w:pStyle w:val="Heading1"/>
      </w:pPr>
      <w:r>
        <w:t xml:space="preserve">Section 3 — Team and Organizational Qualifications</w:t>
      </w:r>
    </w:p>
    <w:p>
      <w:pPr>
        <w:pStyle w:val="FirstParagraph"/>
      </w:pPr>
      <w:r>
        <w:t xml:space="preserve">Vitality is delivered by a four-partner team. Three of four partners are headquartered in Wichita; the fourth is a U.S. Army retiree with extensive federal and public-sector implementation experience. The team is purpose-built for the integrated clinical-plus-coaching-plus-platform model the County asked for.</w:t>
      </w:r>
    </w:p>
    <w:bookmarkStart w:id="40" w:name="X63c5c576a4d75b4a6183d26bb331d99eafa2ae1"/>
    <w:p>
      <w:pPr>
        <w:pStyle w:val="Heading2"/>
      </w:pPr>
      <w:r>
        <w:t xml:space="preserve">3.1 Prime Contractor — Love Clinic &amp; Med Spa, LLC</w:t>
      </w:r>
    </w:p>
    <w:p>
      <w:pPr>
        <w:pStyle w:val="FirstParagraph"/>
      </w:pPr>
      <w:r>
        <w:rPr>
          <w:i/>
          <w:iCs/>
        </w:rPr>
        <w:t xml:space="preserve">In response to L.6.a's requirement that the team demonstrate "a minimum of three (3) years' experience in providing services similar to those specified in this RFP," and to L.2.1's requirement to identify each principal, year established, and contact information for the firm.</w:t>
      </w:r>
    </w:p>
    <w:p>
      <w:pPr>
        <w:pStyle w:val="BodyText"/>
      </w:pPr>
      <w:r>
        <w:rPr>
          <w:b/>
          <w:bCs/>
        </w:rPr>
        <w:t xml:space="preserve">Principal:</w:t>
      </w:r>
      <w:r>
        <w:t xml:space="preserve"> </w:t>
      </w:r>
      <w:r>
        <w:t xml:space="preserve">Dr. Chela Love, DNP, FNP-C, President —</w:t>
      </w:r>
      <w:r>
        <w:t xml:space="preserve"> </w:t>
      </w:r>
      <w:hyperlink r:id="rId22">
        <w:r>
          <w:rPr>
            <w:rStyle w:val="Hyperlink"/>
          </w:rPr>
          <w:t xml:space="preserve">chelalove@loveclinicmedspa.com</w:t>
        </w:r>
      </w:hyperlink>
      <w:r>
        <w:t xml:space="preserve"> </w:t>
      </w:r>
      <w:r>
        <w:t xml:space="preserve">· 316-669-4770</w:t>
      </w:r>
    </w:p>
    <w:p>
      <w:pPr>
        <w:pStyle w:val="BodyText"/>
      </w:pPr>
      <w:r>
        <w:rPr>
          <w:b/>
          <w:bCs/>
        </w:rPr>
        <w:t xml:space="preserve">Location:</w:t>
      </w:r>
      <w:r>
        <w:t xml:space="preserve"> </w:t>
      </w:r>
      <w:r>
        <w:t xml:space="preserve">214 S Rock Rd, Suite 101, Wichita, KS 67207 ·</w:t>
      </w:r>
      <w:r>
        <w:t xml:space="preserve"> </w:t>
      </w:r>
      <w:hyperlink r:id="rId39">
        <w:r>
          <w:rPr>
            <w:rStyle w:val="Hyperlink"/>
          </w:rPr>
          <w:t xml:space="preserve">www.loveclinicmedspa.com</w:t>
        </w:r>
      </w:hyperlink>
    </w:p>
    <w:p>
      <w:pPr>
        <w:pStyle w:val="BodyText"/>
      </w:pPr>
      <w:r>
        <w:rPr>
          <w:b/>
          <w:bCs/>
        </w:rPr>
        <w:t xml:space="preserve">Entity:</w:t>
      </w:r>
      <w:r>
        <w:t xml:space="preserve"> </w:t>
      </w:r>
      <w:r>
        <w:t xml:space="preserve">Love Clinic &amp; Med Spa, LLC — Kansas-domiciled LLC, operating continuously in Wichita since</w:t>
      </w:r>
      <w:r>
        <w:t xml:space="preserve"> </w:t>
      </w:r>
      <w:r>
        <w:rPr>
          <w:b/>
          <w:bCs/>
        </w:rPr>
        <w:t xml:space="preserve">January 2017</w:t>
      </w:r>
      <w:r>
        <w:t xml:space="preserve"> </w:t>
      </w:r>
      <w:r>
        <w:t xml:space="preserve">(nine years of continuous clinical practice — exceeds the RFP §Minimum Firm Qualifications three-year experience floor by 3×).</w:t>
      </w:r>
    </w:p>
    <w:p>
      <w:pPr>
        <w:pStyle w:val="BodyText"/>
      </w:pPr>
      <w:r>
        <w:rPr>
          <w:b/>
          <w:bCs/>
        </w:rPr>
        <w:t xml:space="preserve">Role under this contract:</w:t>
      </w:r>
      <w:r>
        <w:t xml:space="preserve"> </w:t>
      </w:r>
      <w:r>
        <w:t xml:space="preserve">Prime Contractor with single-point accountability to Sedgwick County. Love Clinic &amp; Med Spa, LLC holds the County contract directly and supplies the clinical core of the program: medical oversight, GLP-1 / GLP-2 protocol design and supervision, prescribing authority for the in-program managed-medication pathway (Pathway B), clinical governance, individual member medical care, and back-office injection administration, side-effect management, and titration support — delivered through Love Clinic's already-operating 10-step GLP intake-to-maintenance workflow (Appendix I). The Prime additionally owns BAA execution with the County, single-source consolidated billing to the County, and ultimate performance accountability across all three subcontractors.</w:t>
      </w:r>
    </w:p>
    <w:p>
      <w:pPr>
        <w:pStyle w:val="BodyText"/>
      </w:pPr>
      <w:r>
        <w:rPr>
          <w:b/>
          <w:bCs/>
        </w:rPr>
        <w:t xml:space="preserve">Dr. Chela Love — credentials (verified from primary-source CV on file):</w:t>
      </w:r>
    </w:p>
    <w:p>
      <w:pPr>
        <w:pStyle w:val="Compact"/>
        <w:numPr>
          <w:ilvl w:val="0"/>
          <w:numId w:val="1013"/>
        </w:numPr>
      </w:pPr>
      <w:r>
        <w:rPr>
          <w:b/>
          <w:bCs/>
        </w:rPr>
        <w:t xml:space="preserve">Doctor of Nursing Practice (DNP)</w:t>
      </w:r>
      <w:r>
        <w:t xml:space="preserve"> </w:t>
      </w:r>
      <w:r>
        <w:t xml:space="preserve">— Maryville University, St. Louis, MO (2021)</w:t>
      </w:r>
    </w:p>
    <w:p>
      <w:pPr>
        <w:pStyle w:val="Compact"/>
        <w:numPr>
          <w:ilvl w:val="0"/>
          <w:numId w:val="1013"/>
        </w:numPr>
      </w:pPr>
      <w:r>
        <w:rPr>
          <w:b/>
          <w:bCs/>
        </w:rPr>
        <w:t xml:space="preserve">Master of Science, Family Nurse Practitioner</w:t>
      </w:r>
      <w:r>
        <w:t xml:space="preserve"> </w:t>
      </w:r>
      <w:r>
        <w:t xml:space="preserve">— Maryville University, St. Louis, MO (2014)</w:t>
      </w:r>
    </w:p>
    <w:p>
      <w:pPr>
        <w:pStyle w:val="Compact"/>
        <w:numPr>
          <w:ilvl w:val="0"/>
          <w:numId w:val="1013"/>
        </w:numPr>
      </w:pPr>
      <w:r>
        <w:rPr>
          <w:b/>
          <w:bCs/>
        </w:rPr>
        <w:t xml:space="preserve">Bachelor of Science, Nursing</w:t>
      </w:r>
      <w:r>
        <w:t xml:space="preserve"> </w:t>
      </w:r>
      <w:r>
        <w:t xml:space="preserve">— Wichita State University,</w:t>
      </w:r>
      <w:r>
        <w:t xml:space="preserve"> </w:t>
      </w:r>
      <w:r>
        <w:rPr>
          <w:i/>
          <w:iCs/>
        </w:rPr>
        <w:t xml:space="preserve">cum laude</w:t>
      </w:r>
      <w:r>
        <w:t xml:space="preserve"> </w:t>
      </w:r>
      <w:r>
        <w:t xml:space="preserve">(2007)</w:t>
      </w:r>
    </w:p>
    <w:p>
      <w:pPr>
        <w:pStyle w:val="Compact"/>
        <w:numPr>
          <w:ilvl w:val="0"/>
          <w:numId w:val="1013"/>
        </w:numPr>
      </w:pPr>
      <w:r>
        <w:rPr>
          <w:b/>
          <w:bCs/>
        </w:rPr>
        <w:t xml:space="preserve">Board-Certified Family Nurse Practitioner (FNP-C)</w:t>
      </w:r>
      <w:r>
        <w:t xml:space="preserve"> </w:t>
      </w:r>
      <w:r>
        <w:t xml:space="preserve">— American Academy of Nurse Practitioners Certification Board (AANPCB), 2014 to present (this national board certification, combined with her Kansas RN license below, qualifies Dr. Love as an Advanced Practice Registered Nurse — APRN — under K.S.A. 65-1130 and confers prescribing authority within Kansas)</w:t>
      </w:r>
    </w:p>
    <w:p>
      <w:pPr>
        <w:pStyle w:val="Compact"/>
        <w:numPr>
          <w:ilvl w:val="0"/>
          <w:numId w:val="1013"/>
        </w:numPr>
      </w:pPr>
      <w:r>
        <w:rPr>
          <w:b/>
          <w:bCs/>
        </w:rPr>
        <w:t xml:space="preserve">Registered Nurse, State of Kansas</w:t>
      </w:r>
      <w:r>
        <w:t xml:space="preserve"> </w:t>
      </w:r>
      <w:r>
        <w:t xml:space="preserve">— 2007 to present</w:t>
      </w:r>
    </w:p>
    <w:p>
      <w:pPr>
        <w:pStyle w:val="Compact"/>
        <w:numPr>
          <w:ilvl w:val="0"/>
          <w:numId w:val="1013"/>
        </w:numPr>
      </w:pPr>
      <w:r>
        <w:rPr>
          <w:b/>
          <w:bCs/>
        </w:rPr>
        <w:t xml:space="preserve">BLS Certified</w:t>
      </w:r>
      <w:r>
        <w:t xml:space="preserve"> </w:t>
      </w:r>
      <w:r>
        <w:t xml:space="preserve">— 2007 to present</w:t>
      </w:r>
    </w:p>
    <w:p>
      <w:pPr>
        <w:pStyle w:val="Compact"/>
        <w:numPr>
          <w:ilvl w:val="0"/>
          <w:numId w:val="1013"/>
        </w:numPr>
      </w:pPr>
      <w:r>
        <w:rPr>
          <w:b/>
          <w:bCs/>
        </w:rPr>
        <w:t xml:space="preserve">PECOS-enrolled provider</w:t>
      </w:r>
      <w:r>
        <w:t xml:space="preserve"> </w:t>
      </w:r>
      <w:r>
        <w:t xml:space="preserve">— Medicare Provider Enrollment, Chain, and Ownership System (2015)</w:t>
      </w:r>
    </w:p>
    <w:p>
      <w:pPr>
        <w:pStyle w:val="FirstParagraph"/>
      </w:pPr>
      <w:r>
        <w:rPr>
          <w:b/>
          <w:bCs/>
        </w:rPr>
        <w:t xml:space="preserve">Clinical track record (20+ years total nursing experience):</w:t>
      </w:r>
    </w:p>
    <w:p>
      <w:pPr>
        <w:pStyle w:val="Compact"/>
        <w:numPr>
          <w:ilvl w:val="0"/>
          <w:numId w:val="1014"/>
        </w:numPr>
      </w:pPr>
      <w:r>
        <w:rPr>
          <w:b/>
          <w:bCs/>
        </w:rPr>
        <w:t xml:space="preserve">Love Clinic &amp; Med Spa, LLC</w:t>
      </w:r>
      <w:r>
        <w:t xml:space="preserve"> </w:t>
      </w:r>
      <w:r>
        <w:t xml:space="preserve">(Wichita, KS), Family Nurse Practitioner / Owner — January 2017 to present. Active GLP-1 and GLP-2 weight-loss patient panel; aesthetic injector; full-spectrum acute and chronic disease management.</w:t>
      </w:r>
    </w:p>
    <w:p>
      <w:pPr>
        <w:pStyle w:val="Compact"/>
        <w:numPr>
          <w:ilvl w:val="0"/>
          <w:numId w:val="1014"/>
        </w:numPr>
      </w:pPr>
      <w:r>
        <w:rPr>
          <w:b/>
          <w:bCs/>
        </w:rPr>
        <w:t xml:space="preserve">Advanced Health</w:t>
      </w:r>
      <w:r>
        <w:t xml:space="preserve"> </w:t>
      </w:r>
      <w:r>
        <w:t xml:space="preserve">(Wichita, KS), Family Nurse Practitioner — January 2018 to March 2020. Medicare/Medicaid in-home health risk assessments, PCP coordination, care-management handoffs.</w:t>
      </w:r>
    </w:p>
    <w:p>
      <w:pPr>
        <w:pStyle w:val="Compact"/>
        <w:numPr>
          <w:ilvl w:val="0"/>
          <w:numId w:val="1014"/>
        </w:numPr>
      </w:pPr>
      <w:r>
        <w:rPr>
          <w:b/>
          <w:bCs/>
        </w:rPr>
        <w:t xml:space="preserve">Health Core Clinic, LLC</w:t>
      </w:r>
      <w:r>
        <w:t xml:space="preserve"> </w:t>
      </w:r>
      <w:r>
        <w:t xml:space="preserve">(Wichita, KS), Family Nurse Practitioner — January 2015 to January 2017. Diagnosis, treatment, and prescribing for acute and chronic disease.</w:t>
      </w:r>
    </w:p>
    <w:p>
      <w:pPr>
        <w:pStyle w:val="Compact"/>
        <w:numPr>
          <w:ilvl w:val="0"/>
          <w:numId w:val="1014"/>
        </w:numPr>
      </w:pPr>
      <w:r>
        <w:rPr>
          <w:b/>
          <w:bCs/>
        </w:rPr>
        <w:t xml:space="preserve">Via Christi St. Francis Campus</w:t>
      </w:r>
      <w:r>
        <w:t xml:space="preserve"> </w:t>
      </w:r>
      <w:r>
        <w:t xml:space="preserve">(Wichita, KS), RN, Cardio-Thoracic ICU — September 2007 to September 2015. Open-heart and thoracic post-surgical recovery.</w:t>
      </w:r>
    </w:p>
    <w:p>
      <w:pPr>
        <w:pStyle w:val="FirstParagraph"/>
      </w:pPr>
      <w:r>
        <w:rPr>
          <w:b/>
          <w:bCs/>
        </w:rPr>
        <w:t xml:space="preserve">Clinical team committed to this contract (resumes on file in HIS due-diligence package):</w:t>
      </w:r>
    </w:p>
    <w:p>
      <w:pPr>
        <w:pStyle w:val="Compact"/>
        <w:numPr>
          <w:ilvl w:val="0"/>
          <w:numId w:val="1015"/>
        </w:numPr>
      </w:pPr>
      <w:r>
        <w:rPr>
          <w:b/>
          <w:bCs/>
        </w:rPr>
        <w:t xml:space="preserve">Angie Funes</w:t>
      </w:r>
      <w:r>
        <w:t xml:space="preserve"> </w:t>
      </w:r>
      <w:r>
        <w:t xml:space="preserve">— Practice / Office Manager and Medical Assistant. Bilingual English/Spanish; member-experience escalation owner; payroll, scheduling, vendor accounts, HR records, HIPAA compliance, marketing and community outreach.</w:t>
      </w:r>
    </w:p>
    <w:p>
      <w:pPr>
        <w:pStyle w:val="Compact"/>
        <w:numPr>
          <w:ilvl w:val="0"/>
          <w:numId w:val="1015"/>
        </w:numPr>
      </w:pPr>
      <w:r>
        <w:rPr>
          <w:b/>
          <w:bCs/>
        </w:rPr>
        <w:t xml:space="preserve">Yorly Salazar, CCMA, CNA</w:t>
      </w:r>
      <w:r>
        <w:t xml:space="preserve"> </w:t>
      </w:r>
      <w:r>
        <w:t xml:space="preserve">— Medical Assistant. Bilingual English/Spanish. CPR + BLS certified. Phlebotomy, EKG, injection administration, EMR documentation, prior authorizations and insurance verification. Joined Love Clinic November 2023; prior experience at Wichita Urology Group and Healthcore Clinic.</w:t>
      </w:r>
    </w:p>
    <w:p>
      <w:pPr>
        <w:pStyle w:val="FirstParagraph"/>
      </w:pPr>
      <w:r>
        <w:rPr>
          <w:b/>
          <w:bCs/>
        </w:rPr>
        <w:t xml:space="preserve">Bilingual capacity (confirmed by primary-source resumes):</w:t>
      </w:r>
      <w:r>
        <w:t xml:space="preserve"> </w:t>
      </w:r>
      <w:r>
        <w:t xml:space="preserve">Two members of Love Clinic's frontline care team — Angie Funes (Office Manager / MA) and Yorly Salazar (CCMA / CNA) — are fully bilingual in English and Spanish. This supports Sedgwick County's Hispanic / Latino employee and dependent population without third-party interpreter routing.</w:t>
      </w:r>
    </w:p>
    <w:p>
      <w:pPr>
        <w:pStyle w:val="BodyText"/>
      </w:pPr>
      <w:r>
        <w:rPr>
          <w:b/>
          <w:bCs/>
        </w:rPr>
        <w:t xml:space="preserve">Relevant experience and references:</w:t>
      </w:r>
      <w:r>
        <w:t xml:space="preserve"> </w:t>
      </w:r>
      <w:r>
        <w:t xml:space="preserve">Active clinical practice in Wichita with substantial GLP-1 and GLP-2 patient panel and an established 10-step intake-to-maintenance workflow already operating in production today.</w:t>
      </w:r>
      <w:r>
        <w:t xml:space="preserve"> </w:t>
      </w:r>
      <w:r>
        <w:rPr>
          <w:b/>
          <w:bCs/>
        </w:rPr>
        <w:t xml:space="preserve">Three written employer references</w:t>
      </w:r>
      <w:r>
        <w:t xml:space="preserve"> </w:t>
      </w:r>
      <w:r>
        <w:t xml:space="preserve">for the GLP-1 weight-loss service line — from organizations whose employees are current Love Clinic patients — are submitted in Appendix E. Additional patient-panel and referring-provider references available subject to HIPAA authorization.</w:t>
      </w:r>
    </w:p>
    <w:bookmarkEnd w:id="40"/>
    <w:bookmarkStart w:id="42" w:name="X155607b4d5b8373c7efe69ec00fe0aa55900770"/>
    <w:p>
      <w:pPr>
        <w:pStyle w:val="Heading2"/>
      </w:pPr>
      <w:r>
        <w:t xml:space="preserve">3.3 Wellness Lead — Vanntastic Solutions</w:t>
      </w:r>
    </w:p>
    <w:p>
      <w:pPr>
        <w:pStyle w:val="FirstParagraph"/>
      </w:pPr>
      <w:r>
        <w:rPr>
          <w:b/>
          <w:bCs/>
        </w:rPr>
        <w:t xml:space="preserve">Principal:</w:t>
      </w:r>
      <w:r>
        <w:t xml:space="preserve"> </w:t>
      </w:r>
      <w:r>
        <w:t xml:space="preserve">Dr. J. Michelle Vann, ThD, DCC, MS, BS — Founder &amp; Principal, Vanntastic Solutions (Wichita, KS) — 316-350-2601 ·</w:t>
      </w:r>
      <w:r>
        <w:t xml:space="preserve"> </w:t>
      </w:r>
      <w:hyperlink r:id="rId41">
        <w:r>
          <w:rPr>
            <w:rStyle w:val="Hyperlink"/>
          </w:rPr>
          <w:t xml:space="preserve">www.jmichellevann.com</w:t>
        </w:r>
      </w:hyperlink>
    </w:p>
    <w:p>
      <w:pPr>
        <w:pStyle w:val="BodyText"/>
      </w:pPr>
      <w:r>
        <w:rPr>
          <w:b/>
          <w:bCs/>
        </w:rPr>
        <w:t xml:space="preserve">Role under this contract:</w:t>
      </w:r>
      <w:r>
        <w:t xml:space="preserve"> </w:t>
      </w:r>
      <w:r>
        <w:t xml:space="preserve">Wellness coaching, behavioral engagement, lifestyle accountability, weekly member check-in cadence, and family-programming extensions for members with covered dependents. Vanntastic Solutions is the contracting vehicle; coaching is delivered by Dr. Vann personally and by Vanntastic-credentialed coaches.</w:t>
      </w:r>
    </w:p>
    <w:p>
      <w:pPr>
        <w:pStyle w:val="BodyText"/>
      </w:pPr>
      <w:r>
        <w:rPr>
          <w:b/>
          <w:bCs/>
        </w:rPr>
        <w:t xml:space="preserve">Relevant experience for this Vitality contract:</w:t>
      </w:r>
    </w:p>
    <w:p>
      <w:pPr>
        <w:pStyle w:val="Compact"/>
        <w:numPr>
          <w:ilvl w:val="0"/>
          <w:numId w:val="1016"/>
        </w:numPr>
      </w:pPr>
      <w:r>
        <w:rPr>
          <w:b/>
          <w:bCs/>
        </w:rPr>
        <w:t xml:space="preserve">Sedgwick County Mental Health Advisory Board</w:t>
      </w:r>
      <w:r>
        <w:t xml:space="preserve"> </w:t>
      </w:r>
      <w:r>
        <w:t xml:space="preserve">member (current seat). Direct, current, in-room experience with the County's behavioral-health funding and policy environment.</w:t>
      </w:r>
    </w:p>
    <w:p>
      <w:pPr>
        <w:pStyle w:val="Compact"/>
        <w:numPr>
          <w:ilvl w:val="0"/>
          <w:numId w:val="1016"/>
        </w:numPr>
      </w:pPr>
      <w:r>
        <w:rPr>
          <w:b/>
          <w:bCs/>
        </w:rPr>
        <w:t xml:space="preserve">TEDx speaker</w:t>
      </w:r>
      <w:r>
        <w:t xml:space="preserve"> </w:t>
      </w:r>
      <w:r>
        <w:t xml:space="preserve">— TEDx Newman University,</w:t>
      </w:r>
      <w:r>
        <w:t xml:space="preserve"> </w:t>
      </w:r>
      <w:r>
        <w:rPr>
          <w:i/>
          <w:iCs/>
        </w:rPr>
        <w:t xml:space="preserve">"Realigning When Life Gets Busy"</w:t>
      </w:r>
      <w:r>
        <w:t xml:space="preserve"> </w:t>
      </w:r>
      <w:r>
        <w:t xml:space="preserve">— the lived-experience frame of the Vitality behavioral-coaching curriculum.</w:t>
      </w:r>
    </w:p>
    <w:p>
      <w:pPr>
        <w:pStyle w:val="Compact"/>
        <w:numPr>
          <w:ilvl w:val="0"/>
          <w:numId w:val="1016"/>
        </w:numPr>
      </w:pPr>
      <w:r>
        <w:rPr>
          <w:b/>
          <w:bCs/>
        </w:rPr>
        <w:t xml:space="preserve">20-year Wichita Public Schools veteran</w:t>
      </w:r>
      <w:r>
        <w:t xml:space="preserve"> </w:t>
      </w:r>
      <w:r>
        <w:t xml:space="preserve">(retired), Adjunct Professor at Tabor College Wichita, former Dual Credit Coordinator at Friends University. Behavioral-change pedagogy is her primary professional practice, not an add-on.</w:t>
      </w:r>
    </w:p>
    <w:p>
      <w:pPr>
        <w:pStyle w:val="Compact"/>
        <w:numPr>
          <w:ilvl w:val="0"/>
          <w:numId w:val="1016"/>
        </w:numPr>
      </w:pPr>
      <w:r>
        <w:rPr>
          <w:b/>
          <w:bCs/>
        </w:rPr>
        <w:t xml:space="preserve">KSUN Radio 95.9</w:t>
      </w:r>
      <w:r>
        <w:t xml:space="preserve"> </w:t>
      </w:r>
      <w:r>
        <w:t xml:space="preserve">Saturday host of</w:t>
      </w:r>
      <w:r>
        <w:t xml:space="preserve"> </w:t>
      </w:r>
      <w:r>
        <w:rPr>
          <w:i/>
          <w:iCs/>
        </w:rPr>
        <w:t xml:space="preserve">Spotlight on Business</w:t>
      </w:r>
      <w:r>
        <w:t xml:space="preserve"> </w:t>
      </w:r>
      <w:r>
        <w:t xml:space="preserve">— joint-announcement and member-outreach channel for the County's covered population.</w:t>
      </w:r>
    </w:p>
    <w:p>
      <w:pPr>
        <w:pStyle w:val="Compact"/>
        <w:numPr>
          <w:ilvl w:val="0"/>
          <w:numId w:val="1016"/>
        </w:numPr>
      </w:pPr>
      <w:r>
        <w:rPr>
          <w:b/>
          <w:bCs/>
        </w:rPr>
        <w:t xml:space="preserve">Published author</w:t>
      </w:r>
      <w:r>
        <w:t xml:space="preserve"> </w:t>
      </w:r>
      <w:r>
        <w:t xml:space="preserve">on lifestyle accountability and behavioral health:</w:t>
      </w:r>
      <w:r>
        <w:t xml:space="preserve"> </w:t>
      </w:r>
      <w:r>
        <w:rPr>
          <w:i/>
          <w:iCs/>
        </w:rPr>
        <w:t xml:space="preserve">Stop the Merry-Go-Round</w:t>
      </w:r>
      <w:r>
        <w:t xml:space="preserve">,</w:t>
      </w:r>
      <w:r>
        <w:t xml:space="preserve"> </w:t>
      </w:r>
      <w:r>
        <w:rPr>
          <w:i/>
          <w:iCs/>
        </w:rPr>
        <w:t xml:space="preserve">Help Along the Journey</w:t>
      </w:r>
      <w:r>
        <w:t xml:space="preserve">,</w:t>
      </w:r>
      <w:r>
        <w:t xml:space="preserve"> </w:t>
      </w:r>
      <w:r>
        <w:rPr>
          <w:i/>
          <w:iCs/>
        </w:rPr>
        <w:t xml:space="preserve">From Supporting Role to Leading Lady</w:t>
      </w:r>
      <w:r>
        <w:t xml:space="preserve">,</w:t>
      </w:r>
      <w:r>
        <w:t xml:space="preserve"> </w:t>
      </w:r>
      <w:r>
        <w:rPr>
          <w:i/>
          <w:iCs/>
        </w:rPr>
        <w:t xml:space="preserve">Healthy Plates</w:t>
      </w:r>
      <w:r>
        <w:t xml:space="preserve">.</w:t>
      </w:r>
      <w:r>
        <w:t xml:space="preserve"> </w:t>
      </w:r>
      <w:r>
        <w:rPr>
          <w:i/>
          <w:iCs/>
        </w:rPr>
        <w:t xml:space="preserve">Healthy Plates</w:t>
      </w:r>
      <w:r>
        <w:t xml:space="preserve"> </w:t>
      </w:r>
      <w:r>
        <w:t xml:space="preserve">in particular maps directly to Vitality's lifestyle-and-nutrition coaching arc.</w:t>
      </w:r>
    </w:p>
    <w:p>
      <w:pPr>
        <w:pStyle w:val="Compact"/>
        <w:numPr>
          <w:ilvl w:val="0"/>
          <w:numId w:val="1016"/>
        </w:numPr>
      </w:pPr>
      <w:r>
        <w:rPr>
          <w:b/>
          <w:bCs/>
        </w:rPr>
        <w:t xml:space="preserve">Affiliated Wichita nonprofit and faith-community footprint</w:t>
      </w:r>
      <w:r>
        <w:t xml:space="preserve"> </w:t>
      </w:r>
      <w:r>
        <w:t xml:space="preserve">(not contracting on this proposal, but relevant for trusted-messenger reach into the Sedgwick County workforce): Dr. Vann is Founder of</w:t>
      </w:r>
      <w:r>
        <w:t xml:space="preserve"> </w:t>
      </w:r>
      <w:r>
        <w:rPr>
          <w:b/>
          <w:bCs/>
        </w:rPr>
        <w:t xml:space="preserve">Sistahs Can We Talk</w:t>
      </w:r>
      <w:r>
        <w:t xml:space="preserve"> </w:t>
      </w:r>
      <w:r>
        <w:t xml:space="preserve">(a Wichita-based 501(c)(3) founded 2015 serving BIPOC women's health in the 29th St N &amp; Grove environmental-justice corridor — partner of the Health &amp; Wellness Coalition of Wichita and longstanding collaborator with the Sedgwick County Health Department and KDHE); she also serves as "First Lady" at Iasis Christian Center (Pastor William Vann's congregation).</w:t>
      </w:r>
    </w:p>
    <w:p>
      <w:pPr>
        <w:pStyle w:val="Compact"/>
        <w:numPr>
          <w:ilvl w:val="0"/>
          <w:numId w:val="1016"/>
        </w:numPr>
      </w:pPr>
      <w:r>
        <w:t xml:space="preserve">Wichita-area memberships: WeKan (Women Entrepreneurs of Kansas), Greater Wichita Ministerial League, Urban Young Life.</w:t>
      </w:r>
    </w:p>
    <w:p>
      <w:pPr>
        <w:pStyle w:val="Compact"/>
        <w:numPr>
          <w:ilvl w:val="0"/>
          <w:numId w:val="1016"/>
        </w:numPr>
      </w:pPr>
      <w:r>
        <w:t xml:space="preserve">Spanish-language coaching for the Vitality program is coordinated via the Love Clinic clinical team (Angie Funes / Yorly Salazar — both bilingual EN/ES) so Spanish-speaking members are supported clinically and behaviorally without third-party interpreter routing.</w:t>
      </w:r>
    </w:p>
    <w:bookmarkEnd w:id="42"/>
    <w:bookmarkStart w:id="44" w:name="X5382720df9705d48969158f6f4ebf43487fb0ff"/>
    <w:p>
      <w:pPr>
        <w:pStyle w:val="Heading2"/>
      </w:pPr>
      <w:r>
        <w:t xml:space="preserve">3.4 Platform and Data Lead — The COLLABORATIVE Advocate Foundation</w:t>
      </w:r>
    </w:p>
    <w:p>
      <w:pPr>
        <w:pStyle w:val="FirstParagraph"/>
      </w:pPr>
      <w:r>
        <w:rPr>
          <w:b/>
          <w:bCs/>
        </w:rPr>
        <w:t xml:space="preserve">Principal:</w:t>
      </w:r>
      <w:r>
        <w:t xml:space="preserve"> </w:t>
      </w:r>
      <w:r>
        <w:t xml:space="preserve">Dr. Terry D. Flood, DHA —</w:t>
      </w:r>
      <w:r>
        <w:t xml:space="preserve"> </w:t>
      </w:r>
      <w:r>
        <w:rPr>
          <w:b/>
          <w:bCs/>
        </w:rPr>
        <w:t xml:space="preserve">President, The COLLABORATIVE Advocate Foundation (TCAF)</w:t>
      </w:r>
      <w:r>
        <w:t xml:space="preserve"> </w:t>
      </w:r>
      <w:r>
        <w:t xml:space="preserve">— 254-319-8460 ·</w:t>
      </w:r>
      <w:r>
        <w:t xml:space="preserve"> </w:t>
      </w:r>
      <w:hyperlink r:id="rId43">
        <w:r>
          <w:rPr>
            <w:rStyle w:val="Hyperlink"/>
          </w:rPr>
          <w:t xml:space="preserve">terryflood@thrivingcommunitiesforall.com</w:t>
        </w:r>
      </w:hyperlink>
    </w:p>
    <w:p>
      <w:pPr>
        <w:pStyle w:val="BodyText"/>
      </w:pPr>
      <w:r>
        <w:rPr>
          <w:b/>
          <w:bCs/>
        </w:rPr>
        <w:t xml:space="preserve">Role under this contract:</w:t>
      </w:r>
      <w:r>
        <w:t xml:space="preserve"> </w:t>
      </w:r>
      <w:r>
        <w:t xml:space="preserve">Digital platform and member-app delivery (the Vitality PWA at glpwellness.fit), participant-engagement systems, reporting and analytics, healthcare-data architecture (FHIR/HL7), and the security and HIPAA technical-control surface.</w:t>
      </w:r>
    </w:p>
    <w:p>
      <w:pPr>
        <w:pStyle w:val="BodyText"/>
      </w:pPr>
      <w:r>
        <w:rPr>
          <w:b/>
          <w:bCs/>
        </w:rPr>
        <w:t xml:space="preserve">Credentials:</w:t>
      </w:r>
      <w:r>
        <w:t xml:space="preserve"> </w:t>
      </w:r>
      <w:r>
        <w:t xml:space="preserve">DHA (Doctor of Health Administration); graduate training in data analysis, implementation science, and psychology; CHW-I (Community Health Worker — Instructor); AI / responsible-AI certification; PMP-eligible (project management). U.S. Army retiree.</w:t>
      </w:r>
    </w:p>
    <w:p>
      <w:pPr>
        <w:pStyle w:val="BodyText"/>
      </w:pPr>
      <w:r>
        <w:rPr>
          <w:b/>
          <w:bCs/>
        </w:rPr>
        <w:t xml:space="preserve">Relevant experience:</w:t>
      </w:r>
      <w:r>
        <w:t xml:space="preserve"> </w:t>
      </w:r>
      <w:r>
        <w:t xml:space="preserve">Active U.S. government Secret-level clearance (current status to be furnished to the Prime in writing prior to submission). Specialization in healthcare data standards (FHIR, HL7), population-health analytics, implementation-science frameworks (CFIR / RE-AIM / EPIS), and federal-grade systems implementation. TCAF operates with</w:t>
      </w:r>
      <w:r>
        <w:t xml:space="preserve"> </w:t>
      </w:r>
      <w:r>
        <w:rPr>
          <w:b/>
          <w:bCs/>
        </w:rPr>
        <w:t xml:space="preserve">SAM.gov registration ACTIVE through May 6, 2027</w:t>
      </w:r>
      <w:r>
        <w:t xml:space="preserve"> </w:t>
      </w:r>
      <w:r>
        <w:t xml:space="preserve">(UEI KDDVD1FGLW35 · CAGE 209N1 · EIN 41-3618003) and holds 501(c)(3) public-charity status under IRC §170(b)(1)(A)(vi) (IRS determination effective January 14, 2026).</w:t>
      </w:r>
    </w:p>
    <w:bookmarkEnd w:id="44"/>
    <w:bookmarkStart w:id="46" w:name="Xc46e2852aa8d3865017d9c54cebf227e26630e3"/>
    <w:p>
      <w:pPr>
        <w:pStyle w:val="Heading2"/>
      </w:pPr>
      <w:r>
        <w:t xml:space="preserve">3.5 Contract Administration Subcontractor — Hargrave Innovative Solutions (HIS)</w:t>
      </w:r>
    </w:p>
    <w:p>
      <w:pPr>
        <w:pStyle w:val="FirstParagraph"/>
      </w:pPr>
      <w:r>
        <w:rPr>
          <w:b/>
          <w:bCs/>
        </w:rPr>
        <w:t xml:space="preserve">Principal:</w:t>
      </w:r>
      <w:r>
        <w:t xml:space="preserve"> </w:t>
      </w:r>
      <w:r>
        <w:t xml:space="preserve">Eric Hargrave, CEO &amp; Founder — Hargrave Innovative Solutions (Wichita, KS) —</w:t>
      </w:r>
      <w:r>
        <w:t xml:space="preserve"> </w:t>
      </w:r>
      <w:hyperlink r:id="rId45">
        <w:r>
          <w:rPr>
            <w:rStyle w:val="Hyperlink"/>
          </w:rPr>
          <w:t xml:space="preserve">ericd@hisolution.org</w:t>
        </w:r>
      </w:hyperlink>
      <w:r>
        <w:t xml:space="preserve"> </w:t>
      </w:r>
      <w:r>
        <w:t xml:space="preserve">· 601-238-4186</w:t>
      </w:r>
    </w:p>
    <w:p>
      <w:pPr>
        <w:pStyle w:val="BodyText"/>
      </w:pPr>
      <w:r>
        <w:rPr>
          <w:b/>
          <w:bCs/>
        </w:rPr>
        <w:t xml:space="preserve">Role under this contract:</w:t>
      </w:r>
      <w:r>
        <w:t xml:space="preserve"> </w:t>
      </w:r>
      <w:r>
        <w:t xml:space="preserve">Subcontractor to the Prime (Love Clinic &amp; Med Spa, LLC) providing government-contract administration, compliance oversight, reporting coordination, administrative support, financial reconciliation, subcontractor management for the Vanntastic and TCAF tiers, and performance-monitoring support to the Prime. HIS does not hold the County contract or the County BAA; HIS supports the Prime's execution of both.</w:t>
      </w:r>
    </w:p>
    <w:p>
      <w:pPr>
        <w:pStyle w:val="BodyText"/>
      </w:pPr>
      <w:r>
        <w:rPr>
          <w:b/>
          <w:bCs/>
        </w:rPr>
        <w:t xml:space="preserve">Relevant experience:</w:t>
      </w:r>
      <w:r>
        <w:t xml:space="preserve"> </w:t>
      </w:r>
      <w:r>
        <w:t xml:space="preserve">Long-standing government-contracting and compliance practice serving public-sector and enterprise health-tech clients. Eric Hargrave initiated the cross-team coordination for this RFP (May 12, 2026 working session with Dr. Love, Dr. Vann, and Dr. Flood) and is a recurring coalition partner with TCAF on federal opportunities (named on TCAF's NSF TechAccess coalition through his Fountain of Life Ministries community-anchor role). HIS's contract-administration discipline allows Dr. Love and the Love Clinic clinical team to remain focused on the clinical program while HIS handles the contract-administration overhead.</w:t>
      </w:r>
    </w:p>
    <w:bookmarkEnd w:id="46"/>
    <w:bookmarkStart w:id="47" w:name="Xcedf7bb17e1784741ced566121842af95fd174c"/>
    <w:p>
      <w:pPr>
        <w:pStyle w:val="Heading2"/>
      </w:pPr>
      <w:r>
        <w:t xml:space="preserve">3.6 Subcontracting structure</w:t>
      </w:r>
    </w:p>
    <w:p>
      <w:pPr>
        <w:pStyle w:val="FirstParagraph"/>
      </w:pPr>
      <w:r>
        <w:t xml:space="preserve">Love Clinic &amp; Med Spa, LLC is the sole Prime Contractor and holds the County contract. Hargrave Innovative Solutions (contract administration and compliance), Vanntastic Solutions (behavioral coaching and engagement), and The COLLABORATIVE Advocate Foundation (digital platform and analytics) are named subcontractors. All four partners have agreed to the team structure and have authorized this proposal. The County contracts only with Love Clinic &amp; Med Spa, LLC; the Prime holds three back-to-back subcontract agreements that flow down all material terms (including HIPAA / BAA, insurance, performance standards, and termination provisions) from the County contract.</w:t>
      </w:r>
    </w:p>
    <w:p>
      <w:pPr>
        <w:pStyle w:val="BodyText"/>
      </w:pPr>
      <w:r>
        <w:t xml:space="preserve">This structure provides the County with:</w:t>
      </w:r>
    </w:p>
    <w:p>
      <w:pPr>
        <w:pStyle w:val="Compact"/>
        <w:numPr>
          <w:ilvl w:val="0"/>
          <w:numId w:val="1017"/>
        </w:numPr>
      </w:pPr>
      <w:r>
        <w:t xml:space="preserve">A single point of contact (Dr. Chela Love, with day-to-day administrative support routed through Eric Hargrave at HIS) for all contractual, performance, and escalation matters</w:t>
      </w:r>
    </w:p>
    <w:p>
      <w:pPr>
        <w:pStyle w:val="Compact"/>
        <w:numPr>
          <w:ilvl w:val="0"/>
          <w:numId w:val="1017"/>
        </w:numPr>
      </w:pPr>
      <w:r>
        <w:t xml:space="preserve">Single-source billing and accounts payable through the Prime</w:t>
      </w:r>
    </w:p>
    <w:p>
      <w:pPr>
        <w:pStyle w:val="Compact"/>
        <w:numPr>
          <w:ilvl w:val="0"/>
          <w:numId w:val="1017"/>
        </w:numPr>
      </w:pPr>
      <w:r>
        <w:t xml:space="preserve">Disciplined compliance management through HIS's contract-administration function</w:t>
      </w:r>
    </w:p>
    <w:p>
      <w:pPr>
        <w:pStyle w:val="Compact"/>
        <w:numPr>
          <w:ilvl w:val="0"/>
          <w:numId w:val="1017"/>
        </w:numPr>
      </w:pPr>
      <w:r>
        <w:t xml:space="preserve">Clear delineation of clinical responsibility (Dr. Love, Prime), wellness responsibility (Dr. Vann), and technology responsibility (Dr. Flood)</w:t>
      </w:r>
    </w:p>
    <w:p>
      <w:r>
        <w:pict>
          <v:rect style="width:0;height:1.5pt" o:hralign="center" o:hrstd="t" o:hr="t"/>
        </w:pict>
      </w:r>
    </w:p>
    <w:bookmarkEnd w:id="47"/>
    <w:bookmarkEnd w:id="48"/>
    <w:bookmarkStart w:id="53" w:name="X20c95a3cf4f177a8432660f7794d4017f482a2d"/>
    <w:p>
      <w:pPr>
        <w:pStyle w:val="Heading1"/>
      </w:pPr>
      <w:r>
        <w:t xml:space="preserve">Section 4 — Understanding of the County's Needs</w:t>
      </w:r>
    </w:p>
    <w:bookmarkStart w:id="49" w:name="X3deef3b652bf36cb5761c15f3d518dbaf2f115c"/>
    <w:p>
      <w:pPr>
        <w:pStyle w:val="Heading2"/>
      </w:pPr>
      <w:r>
        <w:t xml:space="preserve">4.1 Population baseline (from Addendum #2)</w:t>
      </w:r>
    </w:p>
    <w:p>
      <w:pPr>
        <w:pStyle w:val="FirstParagraph"/>
      </w:pPr>
      <w:r>
        <w:t xml:space="preserve">The County disclosed the following figures in Addendum #2 (issued May 22, 2026). Vitality has structured the entire proposal around these numbers as authoritative.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members enrolled on County medical plans (all ages)</w:t>
            </w:r>
          </w:p>
        </w:tc>
        <w:tc>
          <w:tcPr/>
          <w:p>
            <w:pPr>
              <w:pStyle w:val="Compact"/>
              <w:jc w:val="left"/>
            </w:pPr>
            <w:r>
              <w:t xml:space="preserve">5,871</w:t>
            </w:r>
          </w:p>
        </w:tc>
      </w:tr>
      <w:tr>
        <w:tc>
          <w:tcPr/>
          <w:p>
            <w:pPr>
              <w:pStyle w:val="Compact"/>
              <w:jc w:val="left"/>
            </w:pPr>
            <w:r>
              <w:t xml:space="preserve">Eligible adult population (employee + dependents age 18+)</w:t>
            </w:r>
          </w:p>
        </w:tc>
        <w:tc>
          <w:tcPr/>
          <w:p>
            <w:pPr>
              <w:pStyle w:val="Compact"/>
              <w:jc w:val="left"/>
            </w:pPr>
            <w:r>
              <w:t xml:space="preserve">4,213</w:t>
            </w:r>
          </w:p>
        </w:tc>
      </w:tr>
      <w:tr>
        <w:tc>
          <w:tcPr/>
          <w:p>
            <w:pPr>
              <w:pStyle w:val="Compact"/>
              <w:jc w:val="left"/>
            </w:pPr>
            <w:r>
              <w:t xml:space="preserve">Female share of population</w:t>
            </w:r>
          </w:p>
        </w:tc>
        <w:tc>
          <w:tcPr/>
          <w:p>
            <w:pPr>
              <w:pStyle w:val="Compact"/>
              <w:jc w:val="left"/>
            </w:pPr>
            <w:r>
              <w:t xml:space="preserve">53%</w:t>
            </w:r>
          </w:p>
        </w:tc>
      </w:tr>
      <w:tr>
        <w:tc>
          <w:tcPr/>
          <w:p>
            <w:pPr>
              <w:pStyle w:val="Compact"/>
              <w:jc w:val="left"/>
            </w:pPr>
            <w:r>
              <w:t xml:space="preserve">Currently on GLP-1 medication</w:t>
            </w:r>
          </w:p>
        </w:tc>
        <w:tc>
          <w:tcPr/>
          <w:p>
            <w:pPr>
              <w:pStyle w:val="Compact"/>
              <w:jc w:val="left"/>
            </w:pPr>
            <w:r>
              <w:t xml:space="preserve">373 (6.3% of enrolled, 8.9% of adults)</w:t>
            </w:r>
          </w:p>
        </w:tc>
      </w:tr>
      <w:tr>
        <w:tc>
          <w:tcPr/>
          <w:p>
            <w:pPr>
              <w:pStyle w:val="Compact"/>
              <w:jc w:val="left"/>
            </w:pPr>
            <w:r>
              <w:t xml:space="preserve">Used GLP-1 in past 12 months</w:t>
            </w:r>
          </w:p>
        </w:tc>
        <w:tc>
          <w:tcPr/>
          <w:p>
            <w:pPr>
              <w:pStyle w:val="Compact"/>
              <w:jc w:val="left"/>
            </w:pPr>
            <w:r>
              <w:t xml:space="preserve">705 (12.0% of enrolled, 16.7% of adults)</w:t>
            </w:r>
          </w:p>
        </w:tc>
      </w:tr>
      <w:tr>
        <w:tc>
          <w:tcPr/>
          <w:p>
            <w:pPr>
              <w:pStyle w:val="Compact"/>
              <w:jc w:val="left"/>
            </w:pPr>
            <w:r>
              <w:t xml:space="preserve">BMI ≥ 30 count</w:t>
            </w:r>
          </w:p>
        </w:tc>
        <w:tc>
          <w:tcPr/>
          <w:p>
            <w:pPr>
              <w:pStyle w:val="Compact"/>
              <w:jc w:val="left"/>
            </w:pPr>
            <w:r>
              <w:t xml:space="preserve">Unavailable from carrier</w:t>
            </w:r>
          </w:p>
        </w:tc>
      </w:tr>
      <w:tr>
        <w:tc>
          <w:tcPr/>
          <w:p>
            <w:pPr>
              <w:pStyle w:val="Compact"/>
              <w:jc w:val="left"/>
            </w:pPr>
            <w:r>
              <w:t xml:space="preserve">CDC PLACES county obesity prevalence</w:t>
            </w:r>
          </w:p>
        </w:tc>
        <w:tc>
          <w:tcPr/>
          <w:p>
            <w:pPr>
              <w:pStyle w:val="Compact"/>
              <w:jc w:val="left"/>
            </w:pPr>
            <w:r>
              <w:t xml:space="preserve">36.2%</w:t>
            </w:r>
          </w:p>
        </w:tc>
      </w:tr>
      <w:tr>
        <w:tc>
          <w:tcPr/>
          <w:p>
            <w:pPr>
              <w:pStyle w:val="Compact"/>
              <w:jc w:val="left"/>
            </w:pPr>
            <w:r>
              <w:t xml:space="preserve">Modeled at-risk adult population</w:t>
            </w:r>
          </w:p>
        </w:tc>
        <w:tc>
          <w:tcPr/>
          <w:p>
            <w:pPr>
              <w:pStyle w:val="Compact"/>
              <w:jc w:val="left"/>
            </w:pPr>
            <w:r>
              <w:t xml:space="preserve">~1,525 (4,213 × 36.2%)</w:t>
            </w:r>
          </w:p>
        </w:tc>
      </w:tr>
      <w:tr>
        <w:tc>
          <w:tcPr/>
          <w:p>
            <w:pPr>
              <w:pStyle w:val="Compact"/>
              <w:jc w:val="left"/>
            </w:pPr>
            <w:r>
              <w:t xml:space="preserve">TPA</w:t>
            </w:r>
          </w:p>
        </w:tc>
        <w:tc>
          <w:tcPr/>
          <w:p>
            <w:pPr>
              <w:pStyle w:val="Compact"/>
              <w:jc w:val="left"/>
            </w:pPr>
            <w:r>
              <w:t xml:space="preserve">UnitedHealthcare (self-insured Group #902769)</w:t>
            </w:r>
          </w:p>
        </w:tc>
      </w:tr>
      <w:tr>
        <w:tc>
          <w:tcPr/>
          <w:p>
            <w:pPr>
              <w:pStyle w:val="Compact"/>
              <w:jc w:val="left"/>
            </w:pPr>
            <w:r>
              <w:t xml:space="preserve">PBM</w:t>
            </w:r>
          </w:p>
        </w:tc>
        <w:tc>
          <w:tcPr/>
          <w:p>
            <w:pPr>
              <w:pStyle w:val="Compact"/>
              <w:jc w:val="left"/>
            </w:pPr>
            <w:r>
              <w:t xml:space="preserve">OptumRx</w:t>
            </w:r>
          </w:p>
        </w:tc>
      </w:tr>
      <w:tr>
        <w:tc>
          <w:tcPr/>
          <w:p>
            <w:pPr>
              <w:pStyle w:val="Compact"/>
              <w:jc w:val="left"/>
            </w:pPr>
            <w:r>
              <w:t xml:space="preserve">Broker of record</w:t>
            </w:r>
          </w:p>
        </w:tc>
        <w:tc>
          <w:tcPr/>
          <w:p>
            <w:pPr>
              <w:pStyle w:val="Compact"/>
              <w:jc w:val="left"/>
            </w:pPr>
            <w:r>
              <w:t xml:space="preserve">IMA</w:t>
            </w:r>
          </w:p>
        </w:tc>
      </w:tr>
      <w:tr>
        <w:tc>
          <w:tcPr/>
          <w:p>
            <w:pPr>
              <w:pStyle w:val="Compact"/>
              <w:jc w:val="left"/>
            </w:pPr>
            <w:r>
              <w:t xml:space="preserve">Current wellness platform</w:t>
            </w:r>
          </w:p>
        </w:tc>
        <w:tc>
          <w:tcPr/>
          <w:p>
            <w:pPr>
              <w:pStyle w:val="Compact"/>
              <w:jc w:val="left"/>
            </w:pPr>
            <w:r>
              <w:t xml:space="preserve">Rally (via UHC)</w:t>
            </w:r>
          </w:p>
        </w:tc>
      </w:tr>
      <w:tr>
        <w:tc>
          <w:tcPr/>
          <w:p>
            <w:pPr>
              <w:pStyle w:val="Compact"/>
              <w:jc w:val="left"/>
            </w:pPr>
            <w:r>
              <w:t xml:space="preserve">Incumbent weight-management vendor</w:t>
            </w:r>
          </w:p>
        </w:tc>
        <w:tc>
          <w:tcPr/>
          <w:p>
            <w:pPr>
              <w:pStyle w:val="Compact"/>
              <w:jc w:val="left"/>
            </w:pPr>
            <w:r>
              <w:t xml:space="preserve">None</w:t>
            </w:r>
          </w:p>
        </w:tc>
      </w:tr>
      <w:tr>
        <w:tc>
          <w:tcPr/>
          <w:p>
            <w:pPr>
              <w:pStyle w:val="Compact"/>
              <w:jc w:val="left"/>
            </w:pPr>
            <w:r>
              <w:t xml:space="preserve">Required service delivery</w:t>
            </w:r>
          </w:p>
        </w:tc>
        <w:tc>
          <w:tcPr/>
          <w:p>
            <w:pPr>
              <w:pStyle w:val="Compact"/>
              <w:jc w:val="left"/>
            </w:pPr>
            <w:r>
              <w:t xml:space="preserve">Virtual only</w:t>
            </w:r>
          </w:p>
        </w:tc>
      </w:tr>
    </w:tbl>
    <w:bookmarkEnd w:id="49"/>
    <w:bookmarkStart w:id="50" w:name="Xe4134960f057883ee829c50de5c2a38b8de5ca8"/>
    <w:p>
      <w:pPr>
        <w:pStyle w:val="Heading2"/>
      </w:pPr>
      <w:r>
        <w:t xml:space="preserve">4.2 The GLP-1 utilization picture</w:t>
      </w:r>
    </w:p>
    <w:p>
      <w:pPr>
        <w:pStyle w:val="FirstParagraph"/>
      </w:pPr>
      <w:r>
        <w:t xml:space="preserve">The single most operationally significant disclosure in Addendum #2 is the GLP-1 utilization data. We interpret it as follows:</w:t>
      </w:r>
    </w:p>
    <w:p>
      <w:pPr>
        <w:pStyle w:val="BodyText"/>
      </w:pPr>
      <w:r>
        <w:rPr>
          <w:b/>
          <w:bCs/>
        </w:rPr>
        <w:t xml:space="preserve">(a) Current GLP-1 spend is substantial and unmanaged.</w:t>
      </w:r>
      <w:r>
        <w:t xml:space="preserve"> </w:t>
      </w:r>
      <w:r>
        <w:t xml:space="preserve">At the conservative RAND 2023 figure of $13,800 per unmanaged GLP-1 patient per year, the 373 current GLP-1 members represent approximately $5.15 million in annual pharmacy cost to the County's medical plan. This spend is occurring with no clinical oversight beyond standard PBM prior authorization.</w:t>
      </w:r>
    </w:p>
    <w:p>
      <w:pPr>
        <w:pStyle w:val="BodyText"/>
      </w:pPr>
      <w:r>
        <w:rPr>
          <w:b/>
          <w:bCs/>
        </w:rPr>
        <w:t xml:space="preserve">(b) The ~47% twelve-month non-continuation rate is the diagnostic signal.</w:t>
      </w:r>
      <w:r>
        <w:t xml:space="preserve"> </w:t>
      </w:r>
      <w:r>
        <w:t xml:space="preserve">705 members used a GLP-1 in the past twelve months, but only 373 are on therapy today — a 332-member differential, or approximately 47% non-continuation. We use "non-continuation" rather than pure "discontinuation" because the County figure may include planned course completions, approved-but-never-filled prior authorizations, within-class therapy switches, and members recently started who are still in titration. Even with those qualifications, the figure sits squarely within the published unmanaged-GLP-1 range of 30–50% twelve-month non-continuation (Gleason et al., JAMA Network Open 2024; AHIP real-world adherence analysis 2023), and the underlying drivers are well-established: side effects (nausea, fatigue) without titration support, absence of behavioral coaching, and no clinical follow-up.</w:t>
      </w:r>
    </w:p>
    <w:p>
      <w:pPr>
        <w:pStyle w:val="BodyText"/>
      </w:pPr>
      <w:r>
        <w:rPr>
          <w:b/>
          <w:bCs/>
        </w:rPr>
        <w:t xml:space="preserve">(c) The capture opportunity is concrete and addressable.</w:t>
      </w:r>
      <w:r>
        <w:t xml:space="preserve"> </w:t>
      </w:r>
      <w:r>
        <w:t xml:space="preserve">RAND's 2023 conservative figure for the cost differential between unmanaged and managed GLP-1 therapy is</w:t>
      </w:r>
      <w:r>
        <w:t xml:space="preserve"> </w:t>
      </w:r>
      <m:oMath>
        <m:r>
          <m:t>5</m:t>
        </m:r>
        <m:r>
          <m:rPr>
            <m:sty m:val="p"/>
          </m:rPr>
          <m:t>,</m:t>
        </m:r>
        <m:r>
          <m:t>600</m:t>
        </m:r>
        <m:r>
          <m:t>p</m:t>
        </m:r>
        <m:r>
          <m:t>e</m:t>
        </m:r>
        <m:r>
          <m:t>r</m:t>
        </m:r>
        <m:r>
          <m:t>p</m:t>
        </m:r>
        <m:r>
          <m:t>a</m:t>
        </m:r>
        <m:r>
          <m:t>t</m:t>
        </m:r>
        <m:r>
          <m:t>i</m:t>
        </m:r>
        <m:r>
          <m:t>e</m:t>
        </m:r>
        <m:r>
          <m:t>n</m:t>
        </m:r>
        <m:r>
          <m:t>t</m:t>
        </m:r>
        <m:r>
          <m:t>p</m:t>
        </m:r>
        <m:r>
          <m:t>e</m:t>
        </m:r>
        <m:r>
          <m:t>r</m:t>
        </m:r>
        <m:r>
          <m:t>y</m:t>
        </m:r>
        <m:r>
          <m:t>e</m:t>
        </m:r>
        <m:r>
          <m:t>a</m:t>
        </m:r>
        <m:r>
          <m:t>r</m:t>
        </m:r>
        <m:r>
          <m:rPr>
            <m:sty m:val="p"/>
          </m:rPr>
          <m:t>(</m:t>
        </m:r>
      </m:oMath>
      <w:r>
        <w:t xml:space="preserve">13,800 −</w:t>
      </w:r>
      <w:r>
        <w:t xml:space="preserve"> </w:t>
      </w:r>
      <m:oMath>
        <m:r>
          <m:t>8</m:t>
        </m:r>
        <m:r>
          <m:rPr>
            <m:sty m:val="p"/>
          </m:rPr>
          <m:t>,</m:t>
        </m:r>
        <m:r>
          <m:t>200</m:t>
        </m:r>
        <m:r>
          <m:rPr>
            <m:sty m:val="p"/>
          </m:rPr>
          <m:t>)</m:t>
        </m:r>
        <m:r>
          <m:rPr>
            <m:sty m:val="p"/>
          </m:rPr>
          <m:t>.</m:t>
        </m:r>
        <m:r>
          <m:t>A</m:t>
        </m:r>
        <m:r>
          <m:t>p</m:t>
        </m:r>
        <m:r>
          <m:t>p</m:t>
        </m:r>
        <m:r>
          <m:t>l</m:t>
        </m:r>
        <m:r>
          <m:t>i</m:t>
        </m:r>
        <m:r>
          <m:t>e</m:t>
        </m:r>
        <m:r>
          <m:t>d</m:t>
        </m:r>
        <m:r>
          <m:t>t</m:t>
        </m:r>
        <m:r>
          <m:t>o</m:t>
        </m:r>
        <m:r>
          <m:t>t</m:t>
        </m:r>
        <m:r>
          <m:t>h</m:t>
        </m:r>
        <m:r>
          <m:t>e</m:t>
        </m:r>
        <m:r>
          <m:t>373</m:t>
        </m:r>
        <m:r>
          <m:t>c</m:t>
        </m:r>
        <m:r>
          <m:t>u</m:t>
        </m:r>
        <m:r>
          <m:t>r</m:t>
        </m:r>
        <m:r>
          <m:t>r</m:t>
        </m:r>
        <m:r>
          <m:t>e</m:t>
        </m:r>
        <m:r>
          <m:t>n</m:t>
        </m:r>
        <m:r>
          <m:t>t</m:t>
        </m:r>
        <m:r>
          <m:t>G</m:t>
        </m:r>
        <m:r>
          <m:t>L</m:t>
        </m:r>
        <m:r>
          <m:t>P</m:t>
        </m:r>
        <m:r>
          <m:rPr>
            <m:sty m:val="p"/>
          </m:rPr>
          <m:t>−</m:t>
        </m:r>
        <m:r>
          <m:t>1</m:t>
        </m:r>
        <m:r>
          <m:t>m</m:t>
        </m:r>
        <m:r>
          <m:t>e</m:t>
        </m:r>
        <m:r>
          <m:t>m</m:t>
        </m:r>
        <m:r>
          <m:t>b</m:t>
        </m:r>
        <m:r>
          <m:t>e</m:t>
        </m:r>
        <m:r>
          <m:t>r</m:t>
        </m:r>
        <m:r>
          <m:t>s</m:t>
        </m:r>
        <m:r>
          <m:rPr>
            <m:sty m:val="p"/>
          </m:rPr>
          <m:t>,</m:t>
        </m:r>
        <m:r>
          <m:t>t</m:t>
        </m:r>
        <m:r>
          <m:t>h</m:t>
        </m:r>
        <m:r>
          <m:t>e</m:t>
        </m:r>
        <m:r>
          <m:t>m</m:t>
        </m:r>
        <m:r>
          <m:t>o</m:t>
        </m:r>
        <m:r>
          <m:t>d</m:t>
        </m:r>
        <m:r>
          <m:t>e</m:t>
        </m:r>
        <m:r>
          <m:t>l</m:t>
        </m:r>
        <m:r>
          <m:t>e</m:t>
        </m:r>
        <m:r>
          <m:t>d</m:t>
        </m:r>
        <m:r>
          <m:t>Y</m:t>
        </m:r>
        <m:r>
          <m:t>e</m:t>
        </m:r>
        <m:r>
          <m:t>a</m:t>
        </m:r>
        <m:r>
          <m:t>r</m:t>
        </m:r>
        <m:r>
          <m:rPr>
            <m:sty m:val="p"/>
          </m:rPr>
          <m:t>−</m:t>
        </m:r>
        <m:r>
          <m:t>1</m:t>
        </m:r>
        <m:r>
          <m:t>c</m:t>
        </m:r>
        <m:r>
          <m:t>a</m:t>
        </m:r>
        <m:r>
          <m:t>p</m:t>
        </m:r>
        <m:r>
          <m:t>t</m:t>
        </m:r>
        <m:r>
          <m:t>u</m:t>
        </m:r>
        <m:r>
          <m:t>r</m:t>
        </m:r>
        <m:r>
          <m:t>e</m:t>
        </m:r>
        <m:r>
          <m:t>o</m:t>
        </m:r>
        <m:r>
          <m:t>p</m:t>
        </m:r>
        <m:r>
          <m:t>p</m:t>
        </m:r>
        <m:r>
          <m:t>o</m:t>
        </m:r>
        <m:r>
          <m:t>r</m:t>
        </m:r>
        <m:r>
          <m:t>t</m:t>
        </m:r>
        <m:r>
          <m:t>u</m:t>
        </m:r>
        <m:r>
          <m:t>n</m:t>
        </m:r>
        <m:r>
          <m:t>i</m:t>
        </m:r>
        <m:r>
          <m:t>t</m:t>
        </m:r>
        <m:r>
          <m:t>y</m:t>
        </m:r>
        <m:r>
          <m:t>i</m:t>
        </m:r>
        <m:r>
          <m:t>s</m:t>
        </m:r>
        <m:r>
          <m:t>a</m:t>
        </m:r>
        <m:r>
          <m:t>p</m:t>
        </m:r>
        <m:r>
          <m:t>p</m:t>
        </m:r>
        <m:r>
          <m:t>r</m:t>
        </m:r>
        <m:r>
          <m:t>o</m:t>
        </m:r>
        <m:r>
          <m:t>x</m:t>
        </m:r>
        <m:r>
          <m:t>i</m:t>
        </m:r>
        <m:r>
          <m:t>m</m:t>
        </m:r>
        <m:r>
          <m:t>a</m:t>
        </m:r>
        <m:r>
          <m:t>t</m:t>
        </m:r>
        <m:r>
          <m:t>e</m:t>
        </m:r>
        <m:r>
          <m:t>l</m:t>
        </m:r>
        <m:r>
          <m:t>y</m:t>
        </m:r>
        <m:r>
          <m:rPr>
            <m:sty m:val="p"/>
          </m:rPr>
          <m:t>*</m:t>
        </m:r>
        <m:r>
          <m:rPr>
            <m:sty m:val="p"/>
          </m:rPr>
          <m:t>*</m:t>
        </m:r>
      </m:oMath>
      <w:r>
        <w:t xml:space="preserve">2.09 million** (373 × $5,600). Migrating the cohort to a managed protocol does not require a single new prescription or any change to OptumRx's formulary — it requires only that the existing 373 members receive structured clinical oversight, titration support, side-effect management, and behavioral coaching. We label this a "capture opportunity" rather than a "guaranteed saving" because realization depends on member uptake; we convert it into a contractual commitment through the at-risk pricing structure described in Section 8.5.</w:t>
      </w:r>
    </w:p>
    <w:bookmarkEnd w:id="50"/>
    <w:bookmarkStart w:id="51" w:name="Xd65559202271634a9988488fb48145214e56d55"/>
    <w:p>
      <w:pPr>
        <w:pStyle w:val="Heading2"/>
      </w:pPr>
      <w:r>
        <w:t xml:space="preserve">4.3 Current gap analysis</w:t>
      </w:r>
    </w:p>
    <w:p>
      <w:pPr>
        <w:pStyle w:val="FirstParagraph"/>
      </w:pPr>
      <w:r>
        <w:t xml:space="preserve">The Addendum disclosed:</w:t>
      </w:r>
      <w:r>
        <w:t xml:space="preserve"> </w:t>
      </w:r>
      <w:r>
        <w:rPr>
          <w:i/>
          <w:iCs/>
        </w:rPr>
        <w:t xml:space="preserve">"Current cost containment is tied to prior authorization program with PBM."</w:t>
      </w:r>
      <w:r>
        <w:t xml:space="preserve"> </w:t>
      </w:r>
      <w:r>
        <w:t xml:space="preserve">The County has identified this as insufficient and has stated its preference for</w:t>
      </w:r>
      <w:r>
        <w:t xml:space="preserve"> </w:t>
      </w:r>
      <w:r>
        <w:rPr>
          <w:i/>
          <w:iCs/>
        </w:rPr>
        <w:t xml:space="preserve">"a broader support-focused program centered around outcomes, health coaching participation, and sustainable lifestyle changes."</w:t>
      </w:r>
    </w:p>
    <w:p>
      <w:pPr>
        <w:pStyle w:val="BodyText"/>
      </w:pPr>
      <w:r>
        <w:t xml:space="preserve">We share the County's diagnosis. Prior authorization gates approval at the moment of prescription but does not address:</w:t>
      </w:r>
    </w:p>
    <w:p>
      <w:pPr>
        <w:pStyle w:val="Compact"/>
        <w:numPr>
          <w:ilvl w:val="0"/>
          <w:numId w:val="1018"/>
        </w:numPr>
      </w:pPr>
      <w:r>
        <w:t xml:space="preserve">Side-effect management during titration (the primary driver of unmanaged-GLP-1 non-continuation)</w:t>
      </w:r>
    </w:p>
    <w:p>
      <w:pPr>
        <w:pStyle w:val="Compact"/>
        <w:numPr>
          <w:ilvl w:val="0"/>
          <w:numId w:val="1018"/>
        </w:numPr>
      </w:pPr>
      <w:r>
        <w:t xml:space="preserve">Behavioral coaching to support sustained dietary and activity changes</w:t>
      </w:r>
    </w:p>
    <w:p>
      <w:pPr>
        <w:pStyle w:val="Compact"/>
        <w:numPr>
          <w:ilvl w:val="0"/>
          <w:numId w:val="1018"/>
        </w:numPr>
      </w:pPr>
      <w:r>
        <w:t xml:space="preserve">Lifestyle accountability and engagement over 12–24 months</w:t>
      </w:r>
    </w:p>
    <w:p>
      <w:pPr>
        <w:pStyle w:val="Compact"/>
        <w:numPr>
          <w:ilvl w:val="0"/>
          <w:numId w:val="1018"/>
        </w:numPr>
      </w:pPr>
      <w:r>
        <w:t xml:space="preserve">Coordination across members' broader care team (PCP, OB-GYN, mental health, etc.)</w:t>
      </w:r>
    </w:p>
    <w:p>
      <w:pPr>
        <w:pStyle w:val="Compact"/>
        <w:numPr>
          <w:ilvl w:val="0"/>
          <w:numId w:val="1018"/>
        </w:numPr>
      </w:pPr>
      <w:r>
        <w:t xml:space="preserve">Outcome measurement and reporting to the County</w:t>
      </w:r>
    </w:p>
    <w:p>
      <w:pPr>
        <w:pStyle w:val="FirstParagraph"/>
      </w:pPr>
      <w:r>
        <w:t xml:space="preserve">Vitality is designed to fill exactly this gap, while preserving OptumRx's PBM role and UnitedHealthcare's TPA role.</w:t>
      </w:r>
    </w:p>
    <w:bookmarkEnd w:id="51"/>
    <w:bookmarkStart w:id="52" w:name="Xe1eeea9e7ca0e2ed7a014d474772b3fd299f1de"/>
    <w:p>
      <w:pPr>
        <w:pStyle w:val="Heading2"/>
      </w:pPr>
      <w:r>
        <w:t xml:space="preserve">4.4 What the County asked for, in the County's own language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County requirement (Addendum #2)</w:t>
            </w:r>
          </w:p>
        </w:tc>
        <w:tc>
          <w:tcPr/>
          <w:p>
            <w:pPr>
              <w:pStyle w:val="Compact"/>
              <w:jc w:val="left"/>
            </w:pPr>
            <w:r>
              <w:t xml:space="preserve">Vitality response section</w:t>
            </w:r>
          </w:p>
        </w:tc>
      </w:tr>
      <w:tr>
        <w:tc>
          <w:tcPr/>
          <w:p>
            <w:pPr>
              <w:pStyle w:val="Compact"/>
              <w:jc w:val="left"/>
            </w:pPr>
            <w:r>
              <w:t xml:space="preserve">"Recommend and design a comprehensive solution"</w:t>
            </w:r>
          </w:p>
        </w:tc>
        <w:tc>
          <w:tcPr/>
          <w:p>
            <w:pPr>
              <w:pStyle w:val="Compact"/>
              <w:jc w:val="left"/>
            </w:pPr>
            <w:r>
              <w:t xml:space="preserve">Section 5 (Program Design)</w:t>
            </w:r>
          </w:p>
        </w:tc>
      </w:tr>
      <w:tr>
        <w:tc>
          <w:tcPr/>
          <w:p>
            <w:pPr>
              <w:pStyle w:val="Compact"/>
              <w:jc w:val="left"/>
            </w:pPr>
            <w:r>
              <w:t xml:space="preserve">"A broader support-focused program centered around outcomes"</w:t>
            </w:r>
          </w:p>
        </w:tc>
        <w:tc>
          <w:tcPr/>
          <w:p>
            <w:pPr>
              <w:pStyle w:val="Compact"/>
              <w:jc w:val="left"/>
            </w:pPr>
            <w:r>
              <w:t xml:space="preserve">Section 5.4 (Behavioral Engagement) + 5.6 (GLP-1 Managed Protocol)</w:t>
            </w:r>
          </w:p>
        </w:tc>
      </w:tr>
      <w:tr>
        <w:tc>
          <w:tcPr/>
          <w:p>
            <w:pPr>
              <w:pStyle w:val="Compact"/>
              <w:jc w:val="left"/>
            </w:pPr>
            <w:r>
              <w:t xml:space="preserve">"Integration is preferred, if available. TPA = UHC, PBM = OptumRx"</w:t>
            </w:r>
          </w:p>
        </w:tc>
        <w:tc>
          <w:tcPr/>
          <w:p>
            <w:pPr>
              <w:pStyle w:val="Compact"/>
              <w:jc w:val="left"/>
            </w:pPr>
            <w:r>
              <w:t xml:space="preserve">Section 6 (Technology Platform)</w:t>
            </w:r>
          </w:p>
        </w:tc>
      </w:tr>
      <w:tr>
        <w:tc>
          <w:tcPr/>
          <w:p>
            <w:pPr>
              <w:pStyle w:val="Compact"/>
              <w:jc w:val="left"/>
            </w:pPr>
            <w:r>
              <w:t xml:space="preserve">"Continued member engagement, proper use of GLP-1s, and cost savings"</w:t>
            </w:r>
          </w:p>
        </w:tc>
        <w:tc>
          <w:tcPr/>
          <w:p>
            <w:pPr>
              <w:pStyle w:val="Compact"/>
              <w:jc w:val="left"/>
            </w:pPr>
            <w:r>
              <w:t xml:space="preserve">Section 9 (Reporting and KPIs) + Section 8 (ROI)</w:t>
            </w:r>
          </w:p>
        </w:tc>
      </w:tr>
      <w:tr>
        <w:tc>
          <w:tcPr/>
          <w:p>
            <w:pPr>
              <w:pStyle w:val="Compact"/>
              <w:jc w:val="left"/>
            </w:pPr>
            <w:r>
              <w:t xml:space="preserve">"Virtual support only"</w:t>
            </w:r>
          </w:p>
        </w:tc>
        <w:tc>
          <w:tcPr/>
          <w:p>
            <w:pPr>
              <w:pStyle w:val="Compact"/>
              <w:jc w:val="left"/>
            </w:pPr>
            <w:r>
              <w:t xml:space="preserve">Section 5 (Program Design) and Section 6.1 (PWA Architecture)</w:t>
            </w:r>
          </w:p>
        </w:tc>
      </w:tr>
      <w:tr>
        <w:tc>
          <w:tcPr/>
          <w:p>
            <w:pPr>
              <w:pStyle w:val="Compact"/>
              <w:jc w:val="left"/>
            </w:pPr>
            <w:r>
              <w:t xml:space="preserve">"18 and over"</w:t>
            </w:r>
          </w:p>
        </w:tc>
        <w:tc>
          <w:tcPr/>
          <w:p>
            <w:pPr>
              <w:pStyle w:val="Compact"/>
              <w:jc w:val="left"/>
            </w:pPr>
            <w:r>
              <w:t xml:space="preserve">Section 5 (adult-only clinical pathway)</w:t>
            </w:r>
          </w:p>
        </w:tc>
      </w:tr>
      <w:tr>
        <w:tc>
          <w:tcPr/>
          <w:p>
            <w:pPr>
              <w:pStyle w:val="Compact"/>
              <w:jc w:val="left"/>
            </w:pPr>
            <w:r>
              <w:t xml:space="preserve">"Either model is acceptable" (in-house prescriber OR NBHWC coach with member's prescriber)</w:t>
            </w:r>
          </w:p>
        </w:tc>
        <w:tc>
          <w:tcPr/>
          <w:p>
            <w:pPr>
              <w:pStyle w:val="Compact"/>
              <w:jc w:val="left"/>
            </w:pPr>
            <w:r>
              <w:t xml:space="preserve">Section 5.6 (dual-pathway design)</w:t>
            </w:r>
          </w:p>
        </w:tc>
      </w:tr>
      <w:tr>
        <w:tc>
          <w:tcPr/>
          <w:p>
            <w:pPr>
              <w:pStyle w:val="Compact"/>
              <w:jc w:val="left"/>
            </w:pPr>
            <w:r>
              <w:t xml:space="preserve">"Network access = integration with existing medical plan ecosystem"</w:t>
            </w:r>
          </w:p>
        </w:tc>
        <w:tc>
          <w:tcPr/>
          <w:p>
            <w:pPr>
              <w:pStyle w:val="Compact"/>
              <w:jc w:val="left"/>
            </w:pPr>
            <w:r>
              <w:t xml:space="preserve">Section 6 (Technology Platform)</w:t>
            </w:r>
          </w:p>
        </w:tc>
      </w:tr>
    </w:tbl>
    <w:p>
      <w:r>
        <w:pict>
          <v:rect style="width:0;height:1.5pt" o:hralign="center" o:hrstd="t" o:hr="t"/>
        </w:pict>
      </w:r>
    </w:p>
    <w:bookmarkEnd w:id="52"/>
    <w:bookmarkEnd w:id="53"/>
    <w:bookmarkStart w:id="60" w:name="X742ff340dc18362baaa3e507c3f346a33755459"/>
    <w:p>
      <w:pPr>
        <w:pStyle w:val="Heading1"/>
      </w:pPr>
      <w:r>
        <w:t xml:space="preserve">Section 5 — Program Design: Vitality Comprehensive Weight Management</w:t>
      </w:r>
    </w:p>
    <w:bookmarkStart w:id="54" w:name="X4a70ad58bc26254f1ceb5f3a4746b917b624195"/>
    <w:p>
      <w:pPr>
        <w:pStyle w:val="Heading2"/>
      </w:pPr>
      <w:r>
        <w:t xml:space="preserve">5.1 Program philosophy</w:t>
      </w:r>
    </w:p>
    <w:p>
      <w:pPr>
        <w:pStyle w:val="FirstParagraph"/>
      </w:pPr>
      <w:r>
        <w:t xml:space="preserve">Vitality is built on five principles:</w:t>
      </w:r>
    </w:p>
    <w:p>
      <w:pPr>
        <w:pStyle w:val="Compact"/>
        <w:numPr>
          <w:ilvl w:val="0"/>
          <w:numId w:val="1019"/>
        </w:numPr>
      </w:pPr>
      <w:r>
        <w:rPr>
          <w:b/>
          <w:bCs/>
        </w:rPr>
        <w:t xml:space="preserve">Member-centric, not vendor-centric.</w:t>
      </w:r>
      <w:r>
        <w:t xml:space="preserve"> </w:t>
      </w:r>
      <w:r>
        <w:t xml:space="preserve">Every design decision starts from the member's job-to-be-done.</w:t>
      </w:r>
    </w:p>
    <w:p>
      <w:pPr>
        <w:pStyle w:val="Compact"/>
        <w:numPr>
          <w:ilvl w:val="0"/>
          <w:numId w:val="1019"/>
        </w:numPr>
      </w:pPr>
      <w:r>
        <w:rPr>
          <w:b/>
          <w:bCs/>
        </w:rPr>
        <w:t xml:space="preserve">Evidence-based.</w:t>
      </w:r>
      <w:r>
        <w:t xml:space="preserve"> </w:t>
      </w:r>
      <w:r>
        <w:t xml:space="preserve">Every clinical recommendation cites the underlying study (DPP, STEP, LOOK AHEAD, RAND, NIH).</w:t>
      </w:r>
    </w:p>
    <w:p>
      <w:pPr>
        <w:pStyle w:val="Compact"/>
        <w:numPr>
          <w:ilvl w:val="0"/>
          <w:numId w:val="1019"/>
        </w:numPr>
      </w:pPr>
      <w:r>
        <w:rPr>
          <w:b/>
          <w:bCs/>
        </w:rPr>
        <w:t xml:space="preserve">Integration-first.</w:t>
      </w:r>
      <w:r>
        <w:t xml:space="preserve"> </w:t>
      </w:r>
      <w:r>
        <w:t xml:space="preserve">We coexist with the County's existing UHC, OptumRx, and Rally relationships. We do not replace them.</w:t>
      </w:r>
    </w:p>
    <w:p>
      <w:pPr>
        <w:pStyle w:val="Compact"/>
        <w:numPr>
          <w:ilvl w:val="0"/>
          <w:numId w:val="1019"/>
        </w:numPr>
      </w:pPr>
      <w:r>
        <w:rPr>
          <w:b/>
          <w:bCs/>
        </w:rPr>
        <w:t xml:space="preserve">Support-focused.</w:t>
      </w:r>
      <w:r>
        <w:t xml:space="preserve"> </w:t>
      </w:r>
      <w:r>
        <w:t xml:space="preserve">We meet the County's stated preference: coaching and clinical wraparound, not compliance enforcement.</w:t>
      </w:r>
    </w:p>
    <w:p>
      <w:pPr>
        <w:pStyle w:val="Compact"/>
        <w:numPr>
          <w:ilvl w:val="0"/>
          <w:numId w:val="1019"/>
        </w:numPr>
      </w:pPr>
      <w:r>
        <w:rPr>
          <w:b/>
          <w:bCs/>
        </w:rPr>
        <w:t xml:space="preserve">Outcomes over activity.</w:t>
      </w:r>
      <w:r>
        <w:t xml:space="preserve"> </w:t>
      </w:r>
      <w:r>
        <w:t xml:space="preserve">Every dashboard leads with the three KPIs the County named.</w:t>
      </w:r>
    </w:p>
    <w:bookmarkEnd w:id="54"/>
    <w:bookmarkStart w:id="55" w:name="Xe3a242f02e5947063b56d6bc5a1077bb0ad1a90"/>
    <w:p>
      <w:pPr>
        <w:pStyle w:val="Heading2"/>
      </w:pPr>
      <w:r>
        <w:t xml:space="preserve">5.2 Member journey — the 5-phase clinical protocol</w:t>
      </w:r>
    </w:p>
    <w:p>
      <w:pPr>
        <w:pStyle w:val="FirstParagraph"/>
      </w:pPr>
      <w:r>
        <w:t xml:space="preserve">Every Vitality member moves through five phases. Each phase has defined entry and exit criteria, a clinical owner, and a measurable outcome.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Owner</w:t>
            </w:r>
          </w:p>
        </w:tc>
        <w:tc>
          <w:tcPr/>
          <w:p>
            <w:pPr>
              <w:pStyle w:val="Compact"/>
              <w:jc w:val="left"/>
            </w:pPr>
            <w:r>
              <w:t xml:space="preserve">Outcome</w:t>
            </w:r>
          </w:p>
        </w:tc>
      </w:tr>
      <w:tr>
        <w:tc>
          <w:tcPr/>
          <w:p>
            <w:pPr>
              <w:pStyle w:val="Compact"/>
              <w:jc w:val="left"/>
            </w:pPr>
            <w:r>
              <w:t xml:space="preserve">1. Onboarding</w:t>
            </w:r>
          </w:p>
        </w:tc>
        <w:tc>
          <w:tcPr/>
          <w:p>
            <w:pPr>
              <w:pStyle w:val="Compact"/>
              <w:jc w:val="left"/>
            </w:pPr>
            <w:r>
              <w:t xml:space="preserve">1–2 weeks</w:t>
            </w:r>
          </w:p>
        </w:tc>
        <w:tc>
          <w:tcPr/>
          <w:p>
            <w:pPr>
              <w:pStyle w:val="Compact"/>
              <w:jc w:val="left"/>
            </w:pPr>
            <w:r>
              <w:t xml:space="preserve">Vitality coaching</w:t>
            </w:r>
          </w:p>
        </w:tc>
        <w:tc>
          <w:tcPr/>
          <w:p>
            <w:pPr>
              <w:pStyle w:val="Compact"/>
              <w:jc w:val="left"/>
            </w:pPr>
            <w:r>
              <w:t xml:space="preserve">Identity verified, employer eligibility confirmed, consent collected, baseline survey complete</w:t>
            </w:r>
          </w:p>
        </w:tc>
      </w:tr>
      <w:tr>
        <w:tc>
          <w:tcPr/>
          <w:p>
            <w:pPr>
              <w:pStyle w:val="Compact"/>
              <w:jc w:val="left"/>
            </w:pPr>
            <w:r>
              <w:t xml:space="preserve">2. Clinical baseline</w:t>
            </w:r>
          </w:p>
        </w:tc>
        <w:tc>
          <w:tcPr/>
          <w:p>
            <w:pPr>
              <w:pStyle w:val="Compact"/>
              <w:jc w:val="left"/>
            </w:pPr>
            <w:r>
              <w:t xml:space="preserve">2–4 weeks</w:t>
            </w:r>
          </w:p>
        </w:tc>
        <w:tc>
          <w:tcPr/>
          <w:p>
            <w:pPr>
              <w:pStyle w:val="Compact"/>
              <w:jc w:val="left"/>
            </w:pPr>
            <w:r>
              <w:t xml:space="preserve">Dr. Love (Clinical)</w:t>
            </w:r>
          </w:p>
        </w:tc>
        <w:tc>
          <w:tcPr/>
          <w:p>
            <w:pPr>
              <w:pStyle w:val="Compact"/>
              <w:jc w:val="left"/>
            </w:pPr>
            <w:r>
              <w:t xml:space="preserve">Medical baseline, BMI, A1C, blood pressure, comorbidity inventory, pathway assignment</w:t>
            </w:r>
          </w:p>
        </w:tc>
      </w:tr>
      <w:tr>
        <w:tc>
          <w:tcPr/>
          <w:p>
            <w:pPr>
              <w:pStyle w:val="Compact"/>
              <w:jc w:val="left"/>
            </w:pPr>
            <w:r>
              <w:t xml:space="preserve">3. Intensive intervention</w:t>
            </w:r>
          </w:p>
        </w:tc>
        <w:tc>
          <w:tcPr/>
          <w:p>
            <w:pPr>
              <w:pStyle w:val="Compact"/>
              <w:jc w:val="left"/>
            </w:pPr>
            <w:r>
              <w:t xml:space="preserve">12–26 weeks</w:t>
            </w:r>
          </w:p>
        </w:tc>
        <w:tc>
          <w:tcPr/>
          <w:p>
            <w:pPr>
              <w:pStyle w:val="Compact"/>
              <w:jc w:val="left"/>
            </w:pPr>
            <w:r>
              <w:t xml:space="preserve">Dr. Love + Dr. Vann</w:t>
            </w:r>
          </w:p>
        </w:tc>
        <w:tc>
          <w:tcPr/>
          <w:p>
            <w:pPr>
              <w:pStyle w:val="Compact"/>
              <w:jc w:val="left"/>
            </w:pPr>
            <w:r>
              <w:t xml:space="preserve">Pathway-specific intervention (lifestyle, GLP-1, surgical-coordinated); weekly coaching cadence; biweekly clinical check</w:t>
            </w:r>
          </w:p>
        </w:tc>
      </w:tr>
      <w:tr>
        <w:tc>
          <w:tcPr/>
          <w:p>
            <w:pPr>
              <w:pStyle w:val="Compact"/>
              <w:jc w:val="left"/>
            </w:pPr>
            <w:r>
              <w:t xml:space="preserve">4. Maintenance</w:t>
            </w:r>
          </w:p>
        </w:tc>
        <w:tc>
          <w:tcPr/>
          <w:p>
            <w:pPr>
              <w:pStyle w:val="Compact"/>
              <w:jc w:val="left"/>
            </w:pPr>
            <w:r>
              <w:t xml:space="preserve">26–52 weeks</w:t>
            </w:r>
          </w:p>
        </w:tc>
        <w:tc>
          <w:tcPr/>
          <w:p>
            <w:pPr>
              <w:pStyle w:val="Compact"/>
              <w:jc w:val="left"/>
            </w:pPr>
            <w:r>
              <w:t xml:space="preserve">Dr. Vann (Behavioral)</w:t>
            </w:r>
          </w:p>
        </w:tc>
        <w:tc>
          <w:tcPr/>
          <w:p>
            <w:pPr>
              <w:pStyle w:val="Compact"/>
              <w:jc w:val="left"/>
            </w:pPr>
            <w:r>
              <w:t xml:space="preserve">Reduced cadence (biweekly to monthly); habit consolidation; outcome stabilization</w:t>
            </w:r>
          </w:p>
        </w:tc>
      </w:tr>
      <w:tr>
        <w:tc>
          <w:tcPr/>
          <w:p>
            <w:pPr>
              <w:pStyle w:val="Compact"/>
              <w:jc w:val="left"/>
            </w:pPr>
            <w:r>
              <w:t xml:space="preserve">5. Graduation</w:t>
            </w:r>
          </w:p>
        </w:tc>
        <w:tc>
          <w:tcPr/>
          <w:p>
            <w:pPr>
              <w:pStyle w:val="Compact"/>
              <w:jc w:val="left"/>
            </w:pPr>
            <w:r>
              <w:t xml:space="preserve">Ongoing</w:t>
            </w:r>
          </w:p>
        </w:tc>
        <w:tc>
          <w:tcPr/>
          <w:p>
            <w:pPr>
              <w:pStyle w:val="Compact"/>
              <w:jc w:val="left"/>
            </w:pPr>
            <w:r>
              <w:t xml:space="preserve">Self-directed with quarterly check-in</w:t>
            </w:r>
          </w:p>
        </w:tc>
        <w:tc>
          <w:tcPr/>
          <w:p>
            <w:pPr>
              <w:pStyle w:val="Compact"/>
              <w:jc w:val="left"/>
            </w:pPr>
            <w:r>
              <w:t xml:space="preserve">Member graduates to alumni program with quarterly touchpoints; clinical and engagement data continue to feed reporting for the savings carryover model</w:t>
            </w:r>
          </w:p>
        </w:tc>
      </w:tr>
    </w:tbl>
    <w:bookmarkEnd w:id="55"/>
    <w:bookmarkStart w:id="56" w:name="X06b19dda5de270ede62cb7a89c34d2bfada8a1c"/>
    <w:p>
      <w:pPr>
        <w:pStyle w:val="Heading2"/>
      </w:pPr>
      <w:r>
        <w:t xml:space="preserve">5.3 Three clinical pathways</w:t>
      </w:r>
    </w:p>
    <w:p>
      <w:pPr>
        <w:pStyle w:val="FirstParagraph"/>
      </w:pPr>
      <w:r>
        <w:t xml:space="preserve">Members are assigned to one of three pathways during Phase 2 (Clinical baseline), based on Dr. Love's clinical assessment, member preference, and clinical guideline match.</w:t>
      </w:r>
    </w:p>
    <w:p>
      <w:pPr>
        <w:pStyle w:val="BodyText"/>
      </w:pPr>
      <w:r>
        <w:rPr>
          <w:b/>
          <w:bCs/>
        </w:rPr>
        <w:t xml:space="preserve">Pathway A — Lifestyle Intervention</w:t>
      </w:r>
      <w:r>
        <w:t xml:space="preserve"> </w:t>
      </w:r>
      <w:r>
        <w:t xml:space="preserve">(estimated 72% of enrolled members)</w:t>
      </w:r>
    </w:p>
    <w:p>
      <w:pPr>
        <w:pStyle w:val="Compact"/>
        <w:numPr>
          <w:ilvl w:val="0"/>
          <w:numId w:val="1020"/>
        </w:numPr>
      </w:pPr>
      <w:r>
        <w:t xml:space="preserve">Evidence base: NIH/DPP Trial (58% reduction in type 2 diabetes progression at 5–10% weight loss)</w:t>
      </w:r>
    </w:p>
    <w:p>
      <w:pPr>
        <w:pStyle w:val="Compact"/>
        <w:numPr>
          <w:ilvl w:val="0"/>
          <w:numId w:val="1020"/>
        </w:numPr>
      </w:pPr>
      <w:r>
        <w:t xml:space="preserve">Components: structured nutrition coaching, activity tracking, behavioral group sessions led by Dr. Vann, weekly check-ins</w:t>
      </w:r>
    </w:p>
    <w:p>
      <w:pPr>
        <w:pStyle w:val="Compact"/>
        <w:numPr>
          <w:ilvl w:val="0"/>
          <w:numId w:val="1020"/>
        </w:numPr>
      </w:pPr>
      <w:r>
        <w:t xml:space="preserve">Clinical cadence: quarterly Dr. Love review</w:t>
      </w:r>
    </w:p>
    <w:p>
      <w:pPr>
        <w:pStyle w:val="Compact"/>
        <w:numPr>
          <w:ilvl w:val="0"/>
          <w:numId w:val="1020"/>
        </w:numPr>
      </w:pPr>
      <w:r>
        <w:t xml:space="preserve">Cost component: lifestyle baseline ($3,200/member/year all-in)</w:t>
      </w:r>
    </w:p>
    <w:p>
      <w:pPr>
        <w:pStyle w:val="FirstParagraph"/>
      </w:pPr>
      <w:r>
        <w:rPr>
          <w:b/>
          <w:bCs/>
        </w:rPr>
        <w:t xml:space="preserve">Pathway B — GLP-1 Managed Care</w:t>
      </w:r>
      <w:r>
        <w:t xml:space="preserve"> </w:t>
      </w:r>
      <w:r>
        <w:t xml:space="preserve">(estimated 20% of enrolled members)</w:t>
      </w:r>
    </w:p>
    <w:p>
      <w:pPr>
        <w:pStyle w:val="Compact"/>
        <w:numPr>
          <w:ilvl w:val="0"/>
          <w:numId w:val="1021"/>
        </w:numPr>
      </w:pPr>
      <w:r>
        <w:t xml:space="preserve">Evidence base: STEP-1, STEP-2, STEP-3 trials (15–17% body weight reduction at 68 weeks)</w:t>
      </w:r>
    </w:p>
    <w:p>
      <w:pPr>
        <w:pStyle w:val="Compact"/>
        <w:numPr>
          <w:ilvl w:val="0"/>
          <w:numId w:val="1021"/>
        </w:numPr>
      </w:pPr>
      <w:r>
        <w:t xml:space="preserve">Components: GLP-1 prescription, structured titration, side-effect management, monthly clinical visits, weekly coaching, OptumRx fill-history reconciliation</w:t>
      </w:r>
    </w:p>
    <w:p>
      <w:pPr>
        <w:pStyle w:val="Compact"/>
        <w:numPr>
          <w:ilvl w:val="0"/>
          <w:numId w:val="1021"/>
        </w:numPr>
      </w:pPr>
      <w:r>
        <w:t xml:space="preserve">Clinical cadence: monthly Dr. Love visit during titration; quarterly during maintenance</w:t>
      </w:r>
    </w:p>
    <w:p>
      <w:pPr>
        <w:pStyle w:val="Compact"/>
        <w:numPr>
          <w:ilvl w:val="0"/>
          <w:numId w:val="1021"/>
        </w:numPr>
      </w:pPr>
      <w:r>
        <w:t xml:space="preserve">Member can elect: in-program prescribing (Dr. Love) OR coaching-only support with member's existing prescriber (per Addendum #2 confirmation that either model is acceptable)</w:t>
      </w:r>
    </w:p>
    <w:p>
      <w:pPr>
        <w:pStyle w:val="FirstParagraph"/>
      </w:pPr>
      <w:r>
        <w:rPr>
          <w:b/>
          <w:bCs/>
        </w:rPr>
        <w:t xml:space="preserve">Pathway C — Surgical-Coordinated</w:t>
      </w:r>
      <w:r>
        <w:t xml:space="preserve"> </w:t>
      </w:r>
      <w:r>
        <w:t xml:space="preserve">(estimated 8% of enrolled members)</w:t>
      </w:r>
    </w:p>
    <w:p>
      <w:pPr>
        <w:pStyle w:val="Compact"/>
        <w:numPr>
          <w:ilvl w:val="0"/>
          <w:numId w:val="1022"/>
        </w:numPr>
      </w:pPr>
      <w:r>
        <w:t xml:space="preserve">Evidence base: LOOK AHEAD Trial (sustained 7–8% loss at 4 years with intensive lifestyle); bariatric surgery outcomes literature</w:t>
      </w:r>
    </w:p>
    <w:p>
      <w:pPr>
        <w:pStyle w:val="Compact"/>
        <w:numPr>
          <w:ilvl w:val="0"/>
          <w:numId w:val="1022"/>
        </w:numPr>
      </w:pPr>
      <w:r>
        <w:t xml:space="preserve">Components: pre-surgical clinical evaluation, post-surgical lifestyle support, coordination with member's chosen surgical center, long-term behavioral coaching</w:t>
      </w:r>
    </w:p>
    <w:p>
      <w:pPr>
        <w:pStyle w:val="Compact"/>
        <w:numPr>
          <w:ilvl w:val="0"/>
          <w:numId w:val="1022"/>
        </w:numPr>
      </w:pPr>
      <w:r>
        <w:t xml:space="preserve">Clinical cadence: aligned with surgical center protocol; Vitality provides wrap-around support</w:t>
      </w:r>
    </w:p>
    <w:bookmarkEnd w:id="56"/>
    <w:bookmarkStart w:id="57" w:name="X068532c30f5d23ac12ab3b60271bc08f1d2fef5"/>
    <w:p>
      <w:pPr>
        <w:pStyle w:val="Heading2"/>
      </w:pPr>
      <w:r>
        <w:t xml:space="preserve">5.4 Behavioral engagement model</w:t>
      </w:r>
    </w:p>
    <w:p>
      <w:pPr>
        <w:pStyle w:val="FirstParagraph"/>
      </w:pPr>
      <w:r>
        <w:t xml:space="preserve">Dr. Vann's behavioral engagement model is the engine that sustains member engagement — the County's #1 KPI.</w:t>
      </w:r>
    </w:p>
    <w:p>
      <w:pPr>
        <w:pStyle w:val="Compact"/>
        <w:numPr>
          <w:ilvl w:val="0"/>
          <w:numId w:val="1023"/>
        </w:numPr>
      </w:pPr>
      <w:r>
        <w:rPr>
          <w:b/>
          <w:bCs/>
        </w:rPr>
        <w:t xml:space="preserve">Weekly check-in cadence</w:t>
      </w:r>
      <w:r>
        <w:t xml:space="preserve"> </w:t>
      </w:r>
      <w:r>
        <w:t xml:space="preserve">during Phase 3 (intensive intervention), via the Vitality PWA, with structured prompts and a coaching response within 24 hours.</w:t>
      </w:r>
    </w:p>
    <w:p>
      <w:pPr>
        <w:pStyle w:val="Compact"/>
        <w:numPr>
          <w:ilvl w:val="0"/>
          <w:numId w:val="1023"/>
        </w:numPr>
      </w:pPr>
      <w:r>
        <w:rPr>
          <w:b/>
          <w:bCs/>
        </w:rPr>
        <w:t xml:space="preserve">Biweekly group sessions</w:t>
      </w:r>
      <w:r>
        <w:t xml:space="preserve"> </w:t>
      </w:r>
      <w:r>
        <w:t xml:space="preserve">during Phase 3 and Phase 4, virtual cohort format, 8–12 members per cohort, facilitated by Dr. Vann or a licensed coach under her supervision.</w:t>
      </w:r>
    </w:p>
    <w:p>
      <w:pPr>
        <w:pStyle w:val="Compact"/>
        <w:numPr>
          <w:ilvl w:val="0"/>
          <w:numId w:val="1023"/>
        </w:numPr>
      </w:pPr>
      <w:r>
        <w:rPr>
          <w:b/>
          <w:bCs/>
        </w:rPr>
        <w:t xml:space="preserve">Family and youth programming extensions</w:t>
      </w:r>
      <w:r>
        <w:t xml:space="preserve"> </w:t>
      </w:r>
      <w:r>
        <w:t xml:space="preserve">for members with dependents — addressing the household environment that drives sustainable weight management.</w:t>
      </w:r>
    </w:p>
    <w:p>
      <w:pPr>
        <w:pStyle w:val="Compact"/>
        <w:numPr>
          <w:ilvl w:val="0"/>
          <w:numId w:val="1023"/>
        </w:numPr>
      </w:pPr>
      <w:r>
        <w:rPr>
          <w:b/>
          <w:bCs/>
        </w:rPr>
        <w:t xml:space="preserve">Automated escalation</w:t>
      </w:r>
      <w:r>
        <w:t xml:space="preserve"> </w:t>
      </w:r>
      <w:r>
        <w:t xml:space="preserve">for any member who does not check in for 14 days, routed to a human coach for outreach.</w:t>
      </w:r>
    </w:p>
    <w:p>
      <w:pPr>
        <w:pStyle w:val="Compact"/>
        <w:numPr>
          <w:ilvl w:val="0"/>
          <w:numId w:val="1023"/>
        </w:numPr>
      </w:pPr>
      <w:r>
        <w:rPr>
          <w:b/>
          <w:bCs/>
        </w:rPr>
        <w:t xml:space="preserve">Engagement scoring</w:t>
      </w:r>
      <w:r>
        <w:t xml:space="preserve"> </w:t>
      </w:r>
      <w:r>
        <w:t xml:space="preserve">for the dashboard, surfaced to the County in quarterly reports.</w:t>
      </w:r>
    </w:p>
    <w:bookmarkEnd w:id="57"/>
    <w:bookmarkStart w:id="58" w:name="Xbf37c6853fc12c0071ef8dba724a7b5e7ea8b7d"/>
    <w:p>
      <w:pPr>
        <w:pStyle w:val="Heading2"/>
      </w:pPr>
      <w:r>
        <w:t xml:space="preserve">5.5 VITA AI persistent-memory advisor</w:t>
      </w:r>
    </w:p>
    <w:p>
      <w:pPr>
        <w:pStyle w:val="FirstParagraph"/>
      </w:pPr>
      <w:r>
        <w:t xml:space="preserve">VITA is Vitality's AI coaching assistant, embedded in the member portal and the employer dashboard. VITA is differentiated from generic AI chatbots by three properties:</w:t>
      </w:r>
    </w:p>
    <w:p>
      <w:pPr>
        <w:pStyle w:val="Compact"/>
        <w:numPr>
          <w:ilvl w:val="0"/>
          <w:numId w:val="1024"/>
        </w:numPr>
      </w:pPr>
      <w:r>
        <w:rPr>
          <w:b/>
          <w:bCs/>
        </w:rPr>
        <w:t xml:space="preserve">Persistent memory.</w:t>
      </w:r>
      <w:r>
        <w:t xml:space="preserve"> </w:t>
      </w:r>
      <w:r>
        <w:t xml:space="preserve">Every member conversation is stored. VITA resumes context on every new session — there is no "starting over." A returning member sees a "Resuming — X prior exchanges" badge on their portal.</w:t>
      </w:r>
    </w:p>
    <w:p>
      <w:pPr>
        <w:pStyle w:val="Compact"/>
        <w:numPr>
          <w:ilvl w:val="0"/>
          <w:numId w:val="1024"/>
        </w:numPr>
      </w:pPr>
      <w:r>
        <w:rPr>
          <w:b/>
          <w:bCs/>
        </w:rPr>
        <w:t xml:space="preserve">Live clinical context.</w:t>
      </w:r>
      <w:r>
        <w:t xml:space="preserve"> </w:t>
      </w:r>
      <w:r>
        <w:t xml:space="preserve">VITA receives the member's current weight, BMI, GLP-1 status, active care plan phase, recent weight trend, and achieved milestones with every message. Responses are anchored to the member's real situation, not generic content.</w:t>
      </w:r>
    </w:p>
    <w:p>
      <w:pPr>
        <w:pStyle w:val="Compact"/>
        <w:numPr>
          <w:ilvl w:val="0"/>
          <w:numId w:val="1024"/>
        </w:numPr>
      </w:pPr>
      <w:r>
        <w:rPr>
          <w:b/>
          <w:bCs/>
        </w:rPr>
        <w:t xml:space="preserve">Evidence-cited responses.</w:t>
      </w:r>
      <w:r>
        <w:t xml:space="preserve"> </w:t>
      </w:r>
      <w:r>
        <w:t xml:space="preserve">VITA's clinical answers cite specific studies (DPP, STEP, LOOK AHEAD, RAND). This is a deliberate design choice for an RFP-evaluator audience as well as for clinical defensibility.</w:t>
      </w:r>
    </w:p>
    <w:p>
      <w:pPr>
        <w:pStyle w:val="FirstParagraph"/>
      </w:pPr>
      <w:r>
        <w:t xml:space="preserve">VITA operates in two modes: a warm, Dr. Love–voiced member mode, and an analytical, ROI-focused employer mode for the County dashboard. Both modes share the same persistent-memory architecture.</w:t>
      </w:r>
    </w:p>
    <w:bookmarkEnd w:id="58"/>
    <w:bookmarkStart w:id="59" w:name="X542b9bc7ba1994679b56a48ff02fcf501c00c8e"/>
    <w:p>
      <w:pPr>
        <w:pStyle w:val="Heading2"/>
      </w:pPr>
      <w:r>
        <w:t xml:space="preserve">5.6 The GLP-1 managed-care protocol — the headline differentiator</w:t>
      </w:r>
    </w:p>
    <w:p>
      <w:pPr>
        <w:pStyle w:val="FirstParagraph"/>
      </w:pPr>
      <w:r>
        <w:rPr>
          <w:i/>
          <w:iCs/>
        </w:rPr>
        <w:t xml:space="preserve">In response to Criterion II's requirement (as clarified in Addendum #2) that the program demonstrate concrete capability to manage GLP-1 utilization in coordination with the County's OptumRx PBM, and to address the cohort behavior visible in the County's 705 → 373 twelve-month GLP-1 transition data.</w:t>
      </w:r>
    </w:p>
    <w:p>
      <w:pPr>
        <w:pStyle w:val="BodyText"/>
      </w:pPr>
      <w:r>
        <w:t xml:space="preserve">This is the operational answer to the $2.09M Year-1 modeled capture opportunity.</w:t>
      </w:r>
      <w:r>
        <w:t xml:space="preserve"> </w:t>
      </w:r>
      <w:r>
        <w:rPr>
          <w:b/>
          <w:bCs/>
        </w:rPr>
        <w:t xml:space="preserve">The protocol is not new to this proposal.</w:t>
      </w:r>
      <w:r>
        <w:t xml:space="preserve"> </w:t>
      </w:r>
      <w:r>
        <w:t xml:space="preserve">Love Clinic &amp; Med Spa already operates a 10-step GLP intake-to-maintenance workflow in production today (Appendix I —</w:t>
      </w:r>
      <w:r>
        <w:t xml:space="preserve"> </w:t>
      </w:r>
      <w:r>
        <w:rPr>
          <w:i/>
          <w:iCs/>
        </w:rPr>
        <w:t xml:space="preserve">Love Clinic &amp; Med Spa GLP Clinic Workflow</w:t>
      </w:r>
      <w:r>
        <w:t xml:space="preserve">, on file), covering: (1) appointment scheduling and electronic intake; (2) MA check-in (weight, BMI, BP, medications, symptoms, goals); (3) provider evaluation and pathway determination (GLP-1 vs. GLP-2); (4) baseline labs (CBC, CMP, TSH, A1C, lipids, optional fasting insulin); (5) education visit (hydration 64–100 oz, protein 80–120 g/day, strength training, side-effect review, injection technique); (6) medication initiation with 4-week follow-up; (7) monthly follow-up with documented weight, BMI, side effects, protein intake, adherence; (8) goal-achievement evaluation at 10–20% body-weight reduction; (9) structured taper protocol (4-week decrements for both GLP-1 and GLP-2 classes, to prevent rebound hunger); and (10) transition to Love Lifestyle Maintenance Program (monthly check-ins, body composition analysis, nutrition accountability, optional hormone optimization). For Sedgwick County, Vitality wraps this in-production clinical workflow with six contract-specific components:</w:t>
      </w:r>
    </w:p>
    <w:p>
      <w:pPr>
        <w:pStyle w:val="Compact"/>
        <w:numPr>
          <w:ilvl w:val="0"/>
          <w:numId w:val="1025"/>
        </w:numPr>
      </w:pPr>
      <w:r>
        <w:rPr>
          <w:b/>
          <w:bCs/>
        </w:rPr>
        <w:t xml:space="preserve">Initial clinical evaluation by Dr. Love</w:t>
      </w:r>
      <w:r>
        <w:t xml:space="preserve"> </w:t>
      </w:r>
      <w:r>
        <w:t xml:space="preserve">for every member entering Pathway B. Establishes baseline metrics, comorbidities, contraindications, and titration plan.</w:t>
      </w:r>
    </w:p>
    <w:p>
      <w:pPr>
        <w:pStyle w:val="Compact"/>
        <w:numPr>
          <w:ilvl w:val="0"/>
          <w:numId w:val="1025"/>
        </w:numPr>
      </w:pPr>
      <w:r>
        <w:rPr>
          <w:b/>
          <w:bCs/>
        </w:rPr>
        <w:t xml:space="preserve">Structured titration over 12–16 weeks</w:t>
      </w:r>
      <w:r>
        <w:t xml:space="preserve"> </w:t>
      </w:r>
      <w:r>
        <w:t xml:space="preserve">with proactive side-effect management. Members are contacted on day 3, day 7, day 14, and weekly thereafter during titration to surface and address side effects before they cause discontinuation. This is the single most important intervention against the GLP-1 non-continuation pattern visible in the County's 705-to-373 cohort transition.</w:t>
      </w:r>
    </w:p>
    <w:p>
      <w:pPr>
        <w:pStyle w:val="Compact"/>
        <w:numPr>
          <w:ilvl w:val="0"/>
          <w:numId w:val="1025"/>
        </w:numPr>
      </w:pPr>
      <w:r>
        <w:rPr>
          <w:b/>
          <w:bCs/>
        </w:rPr>
        <w:t xml:space="preserve">OptumRx fill-history reconciliation.</w:t>
      </w:r>
      <w:r>
        <w:t xml:space="preserve"> </w:t>
      </w:r>
      <w:r>
        <w:t xml:space="preserve">Vitality receives weekly fill-history feeds from OptumRx and reconciles them against expected fills. Members who miss a fill receive coaching outreach within 48 hours.</w:t>
      </w:r>
    </w:p>
    <w:p>
      <w:pPr>
        <w:pStyle w:val="Compact"/>
        <w:numPr>
          <w:ilvl w:val="0"/>
          <w:numId w:val="1025"/>
        </w:numPr>
      </w:pPr>
      <w:r>
        <w:rPr>
          <w:b/>
          <w:bCs/>
        </w:rPr>
        <w:t xml:space="preserve">Behavioral coaching from Dr. Vann's team</w:t>
      </w:r>
      <w:r>
        <w:t xml:space="preserve"> </w:t>
      </w:r>
      <w:r>
        <w:t xml:space="preserve">throughout titration and maintenance. Members on GLP-1 receive structured nutrition support, activity coaching, and sleep/stress modules — the lifestyle scaffolding that makes the medication work.</w:t>
      </w:r>
    </w:p>
    <w:p>
      <w:pPr>
        <w:pStyle w:val="Compact"/>
        <w:numPr>
          <w:ilvl w:val="0"/>
          <w:numId w:val="1025"/>
        </w:numPr>
      </w:pPr>
      <w:r>
        <w:rPr>
          <w:b/>
          <w:bCs/>
        </w:rPr>
        <w:t xml:space="preserve">Coordination with member's existing prescriber</w:t>
      </w:r>
      <w:r>
        <w:t xml:space="preserve"> </w:t>
      </w:r>
      <w:r>
        <w:t xml:space="preserve">(if the member chooses to remain with their PCP rather than have Dr. Love prescribe). Vitality acts as the supporting coaching and reporting layer; the member's PCP retains prescribing authority. Per Addendum #2, the County has confirmed this model is acceptable.</w:t>
      </w:r>
    </w:p>
    <w:p>
      <w:pPr>
        <w:pStyle w:val="Compact"/>
        <w:numPr>
          <w:ilvl w:val="0"/>
          <w:numId w:val="1025"/>
        </w:numPr>
      </w:pPr>
      <w:r>
        <w:rPr>
          <w:b/>
          <w:bCs/>
        </w:rPr>
        <w:t xml:space="preserve">Monthly clinical visits during titration; quarterly thereafter.</w:t>
      </w:r>
      <w:r>
        <w:t xml:space="preserve"> </w:t>
      </w:r>
      <w:r>
        <w:t xml:space="preserve">Dr. Love (or a credentialed clinician on her team) maintains direct medical oversight throughout the member's GLP-1 course.</w:t>
      </w:r>
    </w:p>
    <w:p>
      <w:pPr>
        <w:pStyle w:val="FirstParagraph"/>
      </w:pPr>
      <w:r>
        <w:t xml:space="preserve">The protocol directly targets the non-continuation pattern visible in the County's 705-to-373 cohort transition. Vitality commits to a measurable performance threshold tied to this protocol:</w:t>
      </w:r>
      <w:r>
        <w:t xml:space="preserve"> </w:t>
      </w:r>
      <w:r>
        <w:rPr>
          <w:b/>
          <w:bCs/>
        </w:rPr>
        <w:t xml:space="preserve">≥30% of the County's current 373-member GLP-1 cohort retained in active managed-protocol participation at month 12</w:t>
      </w:r>
      <w:r>
        <w:t xml:space="preserve"> </w:t>
      </w:r>
      <w:r>
        <w:t xml:space="preserve">(a conservative target relative to published managed-GLP-1 retention rates of 55–70%). At-risk pricing tied to this threshold is described in Section 8.5, converting the modeled capture opportunity into a contractual commitment.</w:t>
      </w:r>
    </w:p>
    <w:p>
      <w:r>
        <w:pict>
          <v:rect style="width:0;height:1.5pt" o:hralign="center" o:hrstd="t" o:hr="t"/>
        </w:pict>
      </w:r>
    </w:p>
    <w:bookmarkEnd w:id="59"/>
    <w:bookmarkEnd w:id="60"/>
    <w:bookmarkStart w:id="68" w:name="Xd1fcd592f2370e86f09adde37a0eb47b480c466"/>
    <w:p>
      <w:pPr>
        <w:pStyle w:val="Heading1"/>
      </w:pPr>
      <w:r>
        <w:t xml:space="preserve">Section 6 — Network Access: Integration with the County Medical Plan Ecosystem</w:t>
      </w:r>
    </w:p>
    <w:p>
      <w:pPr>
        <w:pStyle w:val="FirstParagraph"/>
      </w:pPr>
      <w:r>
        <w:rPr>
          <w:i/>
          <w:iCs/>
        </w:rPr>
        <w:t xml:space="preserve">In response to Criterion II's requirement that the program demonstrate the ability to integrate and coordinate with the County's existing medical plan ecosystem (UnitedHealthcare TPA, OptumRx PBM, Rally member-engagement platform, and County HRIS / identity systems), as clarified in Addendum #2.</w:t>
      </w:r>
    </w:p>
    <w:bookmarkStart w:id="61" w:name="Xc58c738b4dc80e4d057361ca53f0779a27c78b6"/>
    <w:p>
      <w:pPr>
        <w:pStyle w:val="Heading2"/>
      </w:pPr>
      <w:r>
        <w:t xml:space="preserve">6.1 PWA architecture</w:t>
      </w:r>
    </w:p>
    <w:p>
      <w:pPr>
        <w:pStyle w:val="FirstParagraph"/>
      </w:pPr>
      <w:r>
        <w:t xml:space="preserve">The Vitality member experience is delivered as a Progressive Web Application (PWA) at</w:t>
      </w:r>
      <w:r>
        <w:t xml:space="preserve"> </w:t>
      </w:r>
      <w:r>
        <w:rPr>
          <w:b/>
          <w:bCs/>
        </w:rPr>
        <w:t xml:space="preserve">glpwellness.fit</w:t>
      </w:r>
      <w:r>
        <w:t xml:space="preserve"> </w:t>
      </w:r>
      <w:r>
        <w:t xml:space="preserve">— the public-facing entry point for Sedgwick County employees and covered dependents. This means:</w:t>
      </w:r>
    </w:p>
    <w:p>
      <w:pPr>
        <w:pStyle w:val="Compact"/>
        <w:numPr>
          <w:ilvl w:val="0"/>
          <w:numId w:val="1026"/>
        </w:numPr>
      </w:pPr>
      <w:r>
        <w:rPr>
          <w:b/>
          <w:bCs/>
        </w:rPr>
        <w:t xml:space="preserve">No app-store install required.</w:t>
      </w:r>
      <w:r>
        <w:t xml:space="preserve"> </w:t>
      </w:r>
      <w:r>
        <w:t xml:space="preserve">Members access the program at</w:t>
      </w:r>
      <w:r>
        <w:t xml:space="preserve"> </w:t>
      </w:r>
      <w:r>
        <w:rPr>
          <w:b/>
          <w:bCs/>
        </w:rPr>
        <w:t xml:space="preserve">glpwellness.fit</w:t>
      </w:r>
      <w:r>
        <w:t xml:space="preserve"> </w:t>
      </w:r>
      <w:r>
        <w:t xml:space="preserve">from any modern web browser on any device — phone, tablet, laptop, desktop. The PWA supports add-to-home-screen on iOS and Android for native-app-style access without the friction of an app-store flow.</w:t>
      </w:r>
    </w:p>
    <w:p>
      <w:pPr>
        <w:pStyle w:val="Compact"/>
        <w:numPr>
          <w:ilvl w:val="0"/>
          <w:numId w:val="1026"/>
        </w:numPr>
      </w:pPr>
      <w:r>
        <w:rPr>
          <w:b/>
          <w:bCs/>
        </w:rPr>
        <w:t xml:space="preserve">Offline capability.</w:t>
      </w:r>
      <w:r>
        <w:t xml:space="preserve"> </w:t>
      </w:r>
      <w:r>
        <w:t xml:space="preserve">Members can log weight, complete daily check-ins, and review coaching materials offline; data syncs when connectivity returns.</w:t>
      </w:r>
    </w:p>
    <w:p>
      <w:pPr>
        <w:pStyle w:val="Compact"/>
        <w:numPr>
          <w:ilvl w:val="0"/>
          <w:numId w:val="1026"/>
        </w:numPr>
      </w:pPr>
      <w:r>
        <w:rPr>
          <w:b/>
          <w:bCs/>
        </w:rPr>
        <w:t xml:space="preserve">Push notifications</w:t>
      </w:r>
      <w:r>
        <w:t xml:space="preserve"> </w:t>
      </w:r>
      <w:r>
        <w:t xml:space="preserve">on Android and modern iOS, for coaching prompts, medication reminders, and weekly check-in nudges.</w:t>
      </w:r>
    </w:p>
    <w:p>
      <w:pPr>
        <w:pStyle w:val="Compact"/>
        <w:numPr>
          <w:ilvl w:val="0"/>
          <w:numId w:val="1026"/>
        </w:numPr>
      </w:pPr>
      <w:r>
        <w:rPr>
          <w:b/>
          <w:bCs/>
        </w:rPr>
        <w:t xml:space="preserve">Accessibility:</w:t>
      </w:r>
      <w:r>
        <w:t xml:space="preserve"> </w:t>
      </w:r>
      <w:r>
        <w:t xml:space="preserve">Design conformance to WCAG 2.1 AA and Section 508; screen-reader support, keyboard navigation, and high-contrast mode in the current member portal. A third-party WCAG 2.1 AA conformance audit will be commissioned during Weeks 4–8 of the 90-day implementation and the audit report delivered to County IT prior to County-wide go-live.</w:t>
      </w:r>
    </w:p>
    <w:p>
      <w:pPr>
        <w:pStyle w:val="FirstParagraph"/>
      </w:pPr>
      <w:r>
        <w:t xml:space="preserve">The platform stack is React 19 + TypeScript on the front end, Express 5 on the API server, PostgreSQL with Drizzle ORM for the database, and a Claude AI (Anthropic) integration for the VITA assistant. All software is built and maintained by Dr. Flood's team at The COLLABORATIVE Advocate Foundation.</w:t>
      </w:r>
    </w:p>
    <w:bookmarkEnd w:id="61"/>
    <w:bookmarkStart w:id="62" w:name="Xd60bfd274009258f211abdc8c01a5e548a16fe5"/>
    <w:p>
      <w:pPr>
        <w:pStyle w:val="Heading2"/>
      </w:pPr>
      <w:r>
        <w:t xml:space="preserve">6.2 Integration with UnitedHealthcare (TPA)</w:t>
      </w:r>
    </w:p>
    <w:p>
      <w:pPr>
        <w:pStyle w:val="FirstParagraph"/>
      </w:pPr>
      <w:r>
        <w:t xml:space="preserve">UnitedHealthcare is Sedgwick County's TPA on the self-insured plan (Group #902769). Vitality is designed to integrate with UHC across three surfaces during the 90-day implementation; none of these integrations are live in the demonstration platform today. The three planned surfaces are:</w:t>
      </w:r>
    </w:p>
    <w:p>
      <w:pPr>
        <w:pStyle w:val="Compact"/>
        <w:numPr>
          <w:ilvl w:val="0"/>
          <w:numId w:val="1027"/>
        </w:numPr>
      </w:pPr>
      <w:r>
        <w:rPr>
          <w:b/>
          <w:bCs/>
        </w:rPr>
        <w:t xml:space="preserve">Eligibility feed:</w:t>
      </w:r>
      <w:r>
        <w:t xml:space="preserve"> </w:t>
      </w:r>
      <w:r>
        <w:t xml:space="preserve">SFTP or API-based daily roster sync from UHC's eligibility files. Will establish the eligible adult population (4,213 per Addendum #2) and support automated enrollment validation.</w:t>
      </w:r>
    </w:p>
    <w:p>
      <w:pPr>
        <w:pStyle w:val="Compact"/>
        <w:numPr>
          <w:ilvl w:val="0"/>
          <w:numId w:val="1027"/>
        </w:numPr>
      </w:pPr>
      <w:r>
        <w:rPr>
          <w:b/>
          <w:bCs/>
        </w:rPr>
        <w:t xml:space="preserve">Claims data feed:</w:t>
      </w:r>
      <w:r>
        <w:t xml:space="preserve"> </w:t>
      </w:r>
      <w:r>
        <w:t xml:space="preserve">Monthly de-identified claims extract under BAA, to be used for outcome measurement (claims-cost trend, hospital and ER utilization for the at-risk cohort).</w:t>
      </w:r>
    </w:p>
    <w:p>
      <w:pPr>
        <w:pStyle w:val="Compact"/>
        <w:numPr>
          <w:ilvl w:val="0"/>
          <w:numId w:val="1027"/>
        </w:numPr>
      </w:pPr>
      <w:r>
        <w:rPr>
          <w:b/>
          <w:bCs/>
        </w:rPr>
        <w:t xml:space="preserve">FHIR R4 read access</w:t>
      </w:r>
      <w:r>
        <w:t xml:space="preserve"> </w:t>
      </w:r>
      <w:r>
        <w:t xml:space="preserve">(if available from UHC's API gateway): will support real-time member clinical context for VITA and Dr. Love's clinical team.</w:t>
      </w:r>
    </w:p>
    <w:p>
      <w:pPr>
        <w:pStyle w:val="FirstParagraph"/>
      </w:pPr>
      <w:r>
        <w:t xml:space="preserve">Integration timeline: stand-up within 30–45 days of contract execution, dependent on UHC IT scheduling. See Section 7.4 for the full demo-vs-implementation maturity matrix.</w:t>
      </w:r>
    </w:p>
    <w:bookmarkEnd w:id="62"/>
    <w:bookmarkStart w:id="63" w:name="Xd3dc5d0f3b0a8c160b4c7fbafc668816154b11f"/>
    <w:p>
      <w:pPr>
        <w:pStyle w:val="Heading2"/>
      </w:pPr>
      <w:r>
        <w:t xml:space="preserve">6.3 Integration with OptumRx (PBM)</w:t>
      </w:r>
    </w:p>
    <w:p>
      <w:pPr>
        <w:pStyle w:val="FirstParagraph"/>
      </w:pPr>
      <w:r>
        <w:t xml:space="preserve">OptumRx is Sedgwick County's PBM. Vitality is designed to integrate across two surfaces during the 90-day implementation; neither integration is live in the demonstration platform today. The two planned surfaces are:</w:t>
      </w:r>
    </w:p>
    <w:p>
      <w:pPr>
        <w:pStyle w:val="Compact"/>
        <w:numPr>
          <w:ilvl w:val="0"/>
          <w:numId w:val="1028"/>
        </w:numPr>
      </w:pPr>
      <w:r>
        <w:rPr>
          <w:b/>
          <w:bCs/>
        </w:rPr>
        <w:t xml:space="preserve">GLP-1 authorization status feed:</w:t>
      </w:r>
      <w:r>
        <w:t xml:space="preserve"> </w:t>
      </w:r>
      <w:r>
        <w:t xml:space="preserve">read-only access to OptumRx prior-authorization decisions for members enrolled in Vitality. Will allow Dr. Love's clinical team to know which members have current GLP-1 authorization without manually contacting members.</w:t>
      </w:r>
    </w:p>
    <w:p>
      <w:pPr>
        <w:pStyle w:val="Compact"/>
        <w:numPr>
          <w:ilvl w:val="0"/>
          <w:numId w:val="1028"/>
        </w:numPr>
      </w:pPr>
      <w:r>
        <w:rPr>
          <w:b/>
          <w:bCs/>
        </w:rPr>
        <w:t xml:space="preserve">Fill-history feed:</w:t>
      </w:r>
      <w:r>
        <w:t xml:space="preserve"> </w:t>
      </w:r>
      <w:r>
        <w:t xml:space="preserve">weekly extract of GLP-1 fill events for enrolled members. Will drive the fill-reconciliation process described in Section 5.6.</w:t>
      </w:r>
    </w:p>
    <w:p>
      <w:pPr>
        <w:pStyle w:val="FirstParagraph"/>
      </w:pPr>
      <w:r>
        <w:t xml:space="preserve">We will not request prescribing authority within OptumRx, will not modify the formulary, and will not change any prior-authorization rules. Vitality's role is observational and coordinative.</w:t>
      </w:r>
    </w:p>
    <w:p>
      <w:pPr>
        <w:pStyle w:val="BodyText"/>
      </w:pPr>
      <w:r>
        <w:t xml:space="preserve">Integration timeline: stand-up within 30–45 days of contract execution. See Section 7.4 for the full demo-vs-implementation maturity matrix.</w:t>
      </w:r>
    </w:p>
    <w:bookmarkEnd w:id="63"/>
    <w:bookmarkStart w:id="64" w:name="X62f36e4b4733f59745e1ae934cffc79a3f63c45"/>
    <w:p>
      <w:pPr>
        <w:pStyle w:val="Heading2"/>
      </w:pPr>
      <w:r>
        <w:t xml:space="preserve">6.4 Coexistence with Rally</w:t>
      </w:r>
    </w:p>
    <w:p>
      <w:pPr>
        <w:pStyle w:val="FirstParagraph"/>
      </w:pPr>
      <w:r>
        <w:t xml:space="preserve">Rally is the County's current member-engagement platform, provided through UHC. Vitality will coexist with Rally rather than replace it. The Rally hand-off integration is not live in the demonstration platform today; it will be jointly configured with UHC's Rally team during Implementation Weeks 3–6. Our integration model:</w:t>
      </w:r>
    </w:p>
    <w:p>
      <w:pPr>
        <w:pStyle w:val="Compact"/>
        <w:numPr>
          <w:ilvl w:val="0"/>
          <w:numId w:val="1029"/>
        </w:numPr>
      </w:pPr>
      <w:r>
        <w:rPr>
          <w:b/>
          <w:bCs/>
        </w:rPr>
        <w:t xml:space="preserve">Single-sign-on hand-off.</w:t>
      </w:r>
      <w:r>
        <w:t xml:space="preserve"> </w:t>
      </w:r>
      <w:r>
        <w:t xml:space="preserve">Members will be able to launch Vitality from Rally with a one-click SSO flow (Azure AD / SAML 2.0).</w:t>
      </w:r>
    </w:p>
    <w:p>
      <w:pPr>
        <w:pStyle w:val="Compact"/>
        <w:numPr>
          <w:ilvl w:val="0"/>
          <w:numId w:val="1029"/>
        </w:numPr>
      </w:pPr>
      <w:r>
        <w:rPr>
          <w:b/>
          <w:bCs/>
        </w:rPr>
        <w:t xml:space="preserve">Engagement data exchange.</w:t>
      </w:r>
      <w:r>
        <w:t xml:space="preserve"> </w:t>
      </w:r>
      <w:r>
        <w:t xml:space="preserve">Vitality engagement metrics (check-ins, coaching touchpoints) will be exported to Rally to roll up into the County's broader wellness dashboard.</w:t>
      </w:r>
    </w:p>
    <w:p>
      <w:pPr>
        <w:pStyle w:val="Compact"/>
        <w:numPr>
          <w:ilvl w:val="0"/>
          <w:numId w:val="1029"/>
        </w:numPr>
      </w:pPr>
      <w:r>
        <w:rPr>
          <w:b/>
          <w:bCs/>
        </w:rPr>
        <w:t xml:space="preserve">No duplication of general-wellness content.</w:t>
      </w:r>
      <w:r>
        <w:t xml:space="preserve"> </w:t>
      </w:r>
      <w:r>
        <w:t xml:space="preserve">Rally remains the source of truth for general wellness (gym reimbursement, biometric screenings, mental health). Vitality is the source of truth for weight management and GLP-1 utilization specifically.</w:t>
      </w:r>
    </w:p>
    <w:bookmarkEnd w:id="64"/>
    <w:bookmarkStart w:id="65" w:name="X7d707d7f9c8b483a3f9ee0569705892e9051c21"/>
    <w:p>
      <w:pPr>
        <w:pStyle w:val="Heading2"/>
      </w:pPr>
      <w:r>
        <w:t xml:space="preserve">6.5 Single sign-on and identity</w:t>
      </w:r>
    </w:p>
    <w:p>
      <w:pPr>
        <w:pStyle w:val="FirstParagraph"/>
      </w:pPr>
      <w:r>
        <w:t xml:space="preserve">Vitality supports the following SSO and identity providers:</w:t>
      </w:r>
    </w:p>
    <w:p>
      <w:pPr>
        <w:pStyle w:val="Compact"/>
        <w:numPr>
          <w:ilvl w:val="0"/>
          <w:numId w:val="1030"/>
        </w:numPr>
      </w:pPr>
      <w:r>
        <w:t xml:space="preserve">Microsoft Entra ID / Azure AD (SAML 2.0 and OIDC) — recommended for the County's environment</w:t>
      </w:r>
    </w:p>
    <w:p>
      <w:pPr>
        <w:pStyle w:val="Compact"/>
        <w:numPr>
          <w:ilvl w:val="0"/>
          <w:numId w:val="1030"/>
        </w:numPr>
      </w:pPr>
      <w:r>
        <w:t xml:space="preserve">Okta (SAML 2.0 and OIDC)</w:t>
      </w:r>
    </w:p>
    <w:p>
      <w:pPr>
        <w:pStyle w:val="Compact"/>
        <w:numPr>
          <w:ilvl w:val="0"/>
          <w:numId w:val="1030"/>
        </w:numPr>
      </w:pPr>
      <w:r>
        <w:t xml:space="preserve">Google Workspace (OIDC)</w:t>
      </w:r>
    </w:p>
    <w:p>
      <w:pPr>
        <w:pStyle w:val="Compact"/>
        <w:numPr>
          <w:ilvl w:val="0"/>
          <w:numId w:val="1030"/>
        </w:numPr>
      </w:pPr>
      <w:r>
        <w:t xml:space="preserve">City/County LDAP (legacy support)</w:t>
      </w:r>
    </w:p>
    <w:p>
      <w:pPr>
        <w:pStyle w:val="Compact"/>
        <w:numPr>
          <w:ilvl w:val="0"/>
          <w:numId w:val="1030"/>
        </w:numPr>
      </w:pPr>
      <w:r>
        <w:t xml:space="preserve">Multi-factor authentication enforced for all administrative and clinical users</w:t>
      </w:r>
    </w:p>
    <w:p>
      <w:pPr>
        <w:pStyle w:val="Compact"/>
        <w:numPr>
          <w:ilvl w:val="0"/>
          <w:numId w:val="1030"/>
        </w:numPr>
      </w:pPr>
      <w:r>
        <w:t xml:space="preserve">Self-service password reset for members; SSO bypass for members who prefer email/password</w:t>
      </w:r>
    </w:p>
    <w:bookmarkEnd w:id="65"/>
    <w:bookmarkStart w:id="66" w:name="Xf58aeb27f318dd250be173eec033453d6587d56"/>
    <w:p>
      <w:pPr>
        <w:pStyle w:val="Heading2"/>
      </w:pPr>
      <w:r>
        <w:t xml:space="preserve">6.6 Security, HIPAA, and data governance</w:t>
      </w:r>
    </w:p>
    <w:p>
      <w:pPr>
        <w:pStyle w:val="Compact"/>
        <w:numPr>
          <w:ilvl w:val="0"/>
          <w:numId w:val="1031"/>
        </w:numPr>
      </w:pPr>
      <w:r>
        <w:rPr>
          <w:b/>
          <w:bCs/>
        </w:rPr>
        <w:t xml:space="preserve">HIPAA compliance</w:t>
      </w:r>
      <w:r>
        <w:t xml:space="preserve"> </w:t>
      </w:r>
      <w:r>
        <w:t xml:space="preserve">at the technical, administrative, and physical levels. Business Associate Agreement will be executed at contract award.</w:t>
      </w:r>
    </w:p>
    <w:p>
      <w:pPr>
        <w:pStyle w:val="Compact"/>
        <w:numPr>
          <w:ilvl w:val="0"/>
          <w:numId w:val="1031"/>
        </w:numPr>
      </w:pPr>
      <w:r>
        <w:rPr>
          <w:b/>
          <w:bCs/>
        </w:rPr>
        <w:t xml:space="preserve">Encryption</w:t>
      </w:r>
      <w:r>
        <w:t xml:space="preserve"> </w:t>
      </w:r>
      <w:r>
        <w:t xml:space="preserve">at rest (AES-256) and in transit (TLS 1.3).</w:t>
      </w:r>
    </w:p>
    <w:p>
      <w:pPr>
        <w:pStyle w:val="Compact"/>
        <w:numPr>
          <w:ilvl w:val="0"/>
          <w:numId w:val="1031"/>
        </w:numPr>
      </w:pPr>
      <w:r>
        <w:rPr>
          <w:b/>
          <w:bCs/>
        </w:rPr>
        <w:t xml:space="preserve">Role-based access control.</w:t>
      </w:r>
      <w:r>
        <w:t xml:space="preserve"> </w:t>
      </w:r>
      <w:r>
        <w:t xml:space="preserve">Clinical roles (Dr. Love and her team), coaching roles (Dr. Vann and her team), administrative roles, and County reviewer roles each have defined access scopes.</w:t>
      </w:r>
    </w:p>
    <w:p>
      <w:pPr>
        <w:pStyle w:val="Compact"/>
        <w:numPr>
          <w:ilvl w:val="0"/>
          <w:numId w:val="1031"/>
        </w:numPr>
      </w:pPr>
      <w:r>
        <w:rPr>
          <w:b/>
          <w:bCs/>
        </w:rPr>
        <w:t xml:space="preserve">Audit logging</w:t>
      </w:r>
      <w:r>
        <w:t xml:space="preserve"> </w:t>
      </w:r>
      <w:r>
        <w:t xml:space="preserve">of every clinical data access, retained for 7 years per HIPAA.</w:t>
      </w:r>
    </w:p>
    <w:p>
      <w:pPr>
        <w:pStyle w:val="Compact"/>
        <w:numPr>
          <w:ilvl w:val="0"/>
          <w:numId w:val="1031"/>
        </w:numPr>
      </w:pPr>
      <w:r>
        <w:rPr>
          <w:b/>
          <w:bCs/>
        </w:rPr>
        <w:t xml:space="preserve">Data residency</w:t>
      </w:r>
      <w:r>
        <w:t xml:space="preserve"> </w:t>
      </w:r>
      <w:r>
        <w:t xml:space="preserve">in U.S.-based cloud infrastructure with SOC 2 Type II certification.</w:t>
      </w:r>
    </w:p>
    <w:p>
      <w:pPr>
        <w:pStyle w:val="Compact"/>
        <w:numPr>
          <w:ilvl w:val="0"/>
          <w:numId w:val="1031"/>
        </w:numPr>
      </w:pPr>
      <w:r>
        <w:rPr>
          <w:b/>
          <w:bCs/>
        </w:rPr>
        <w:t xml:space="preserve">42 CFR Part 2 readiness</w:t>
      </w:r>
      <w:r>
        <w:t xml:space="preserve"> </w:t>
      </w:r>
      <w:r>
        <w:t xml:space="preserve">if the County identifies any substance-use-disorder data flows that require it.</w:t>
      </w:r>
    </w:p>
    <w:p>
      <w:pPr>
        <w:pStyle w:val="Compact"/>
        <w:numPr>
          <w:ilvl w:val="0"/>
          <w:numId w:val="1031"/>
        </w:numPr>
      </w:pPr>
      <w:r>
        <w:rPr>
          <w:b/>
          <w:bCs/>
        </w:rPr>
        <w:t xml:space="preserve">De-identification</w:t>
      </w:r>
      <w:r>
        <w:t xml:space="preserve"> </w:t>
      </w:r>
      <w:r>
        <w:t xml:space="preserve">for all aggregate reports to the County (HIPAA Safe Harbor or Expert Determination method, depending on cohort size).</w:t>
      </w:r>
    </w:p>
    <w:p>
      <w:pPr>
        <w:pStyle w:val="Compact"/>
        <w:numPr>
          <w:ilvl w:val="0"/>
          <w:numId w:val="1031"/>
        </w:numPr>
      </w:pPr>
      <w:r>
        <w:rPr>
          <w:b/>
          <w:bCs/>
        </w:rPr>
        <w:t xml:space="preserve">Member access and portability rights</w:t>
      </w:r>
      <w:r>
        <w:t xml:space="preserve"> </w:t>
      </w:r>
      <w:r>
        <w:t xml:space="preserve">under HIPAA: members can export their full Vitality record at any time.</w:t>
      </w:r>
    </w:p>
    <w:p>
      <w:pPr>
        <w:pStyle w:val="FirstParagraph"/>
      </w:pPr>
      <w:r>
        <w:rPr>
          <w:b/>
          <w:bCs/>
        </w:rPr>
        <w:t xml:space="preserve">[Evidence — Criterion II]:</w:t>
      </w:r>
      <w:r>
        <w:t xml:space="preserve"> </w:t>
      </w:r>
      <w:r>
        <w:t xml:space="preserve">Five named integration surfaces with the County's medical plan ecosystem (UHC eligibility + claims + FHIR R4 · OptumRx prior-auth + fill-history · Rally SSO + engagement export · Azure AD / Entra SSO · CSV/API export to County BI tooling). Defined integration timelines (UHC 30–45 days · OptumRx 30–45 days · SSO 7–21 days). HIPAA Business Associate Agreement executed at award. No displacement of any incumbent vendor.</w:t>
      </w:r>
    </w:p>
    <w:bookmarkEnd w:id="66"/>
    <w:bookmarkStart w:id="67" w:name="Xd3343bd3a030235efbfb69857d3479e471cdd9e"/>
    <w:p>
      <w:pPr>
        <w:pStyle w:val="Heading2"/>
      </w:pPr>
      <w:r>
        <w:t xml:space="preserve">6.7 Customer Service and Member Experience — Response to Criterion III</w:t>
      </w:r>
    </w:p>
    <w:p>
      <w:pPr>
        <w:pStyle w:val="FirstParagraph"/>
      </w:pPr>
      <w:r>
        <w:rPr>
          <w:i/>
          <w:iCs/>
        </w:rPr>
        <w:t xml:space="preserve">In response to Criterion III's requirement that the program demonstrate Customer Service and Member Experience.</w:t>
      </w:r>
    </w:p>
    <w:p>
      <w:pPr>
        <w:pStyle w:val="BodyText"/>
      </w:pPr>
      <w:r>
        <w:t xml:space="preserve">The Vitality member experience is designed around named service touchpoints with measurable response standards:</w:t>
      </w:r>
    </w:p>
    <w:p>
      <w:pPr>
        <w:pStyle w:val="BodyText"/>
      </w:pPr>
      <w:r>
        <w:rPr>
          <w:b/>
          <w:bCs/>
        </w:rPr>
        <w:t xml:space="preserve">Onboarding (first 14 days).</w:t>
      </w:r>
      <w:r>
        <w:t xml:space="preserve"> </w:t>
      </w:r>
      <w:r>
        <w:t xml:space="preserve">Members complete a 5-step wizard (identity → health baseline → goals → pathway → consent). Each step takes under 3 minutes; full enrollment is under 15. Every member receives a coaching touch with Dr. Vann's team within 72 hours of completing the wizard. Every member entering Pathway B (GLP-1) receives a clinical evaluation visit with Dr. Love or a credentialed clinician on her team within 7 days.</w:t>
      </w:r>
    </w:p>
    <w:p>
      <w:pPr>
        <w:pStyle w:val="BodyText"/>
      </w:pPr>
      <w:r>
        <w:rPr>
          <w:b/>
          <w:bCs/>
        </w:rPr>
        <w:t xml:space="preserve">Daily engagement.</w:t>
      </w:r>
      <w:r>
        <w:t xml:space="preserve"> </w:t>
      </w:r>
      <w:r>
        <w:t xml:space="preserve">The VITA AI persistent-memory advisor is available 24/7 and remembers every prior conversation. Members ask clinical, logistical, behavioral, and motivational questions in plain language. VITA cites Dr. Love's clinical guidance for medical questions and routes to a human coach or clinician whenever a question exceeds its scope.</w:t>
      </w:r>
    </w:p>
    <w:p>
      <w:pPr>
        <w:pStyle w:val="BodyText"/>
      </w:pPr>
      <w:r>
        <w:rPr>
          <w:b/>
          <w:bCs/>
        </w:rPr>
        <w:t xml:space="preserve">Weekly cadence.</w:t>
      </w:r>
      <w:r>
        <w:t xml:space="preserve"> </w:t>
      </w:r>
      <w:r>
        <w:t xml:space="preserve">Every member receives at least one structured coaching touchpoint per week (group session, 1:1 check-in, or asynchronous coach review). Weekly check-ins capture weight, mood, side effects (if on GLP-1), and progress against personal goals.</w:t>
      </w:r>
    </w:p>
    <w:p>
      <w:pPr>
        <w:pStyle w:val="BodyText"/>
      </w:pPr>
      <w:r>
        <w:rPr>
          <w:b/>
          <w:bCs/>
        </w:rPr>
        <w:t xml:space="preserve">Live human support — named service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Channel</w:t>
            </w:r>
          </w:p>
        </w:tc>
        <w:tc>
          <w:tcPr/>
          <w:p>
            <w:pPr>
              <w:pStyle w:val="Compact"/>
              <w:jc w:val="left"/>
            </w:pPr>
            <w:r>
              <w:t xml:space="preserve">Service Standard</w:t>
            </w:r>
          </w:p>
        </w:tc>
      </w:tr>
      <w:tr>
        <w:tc>
          <w:tcPr/>
          <w:p>
            <w:pPr>
              <w:pStyle w:val="Compact"/>
              <w:jc w:val="left"/>
            </w:pPr>
            <w:r>
              <w:t xml:space="preserve">Secure message to coach</w:t>
            </w:r>
          </w:p>
        </w:tc>
        <w:tc>
          <w:tcPr/>
          <w:p>
            <w:pPr>
              <w:pStyle w:val="Compact"/>
              <w:jc w:val="left"/>
            </w:pPr>
            <w:r>
              <w:t xml:space="preserve">Response within 1 business hour during business hours; same-business-day after hours</w:t>
            </w:r>
          </w:p>
        </w:tc>
      </w:tr>
      <w:tr>
        <w:tc>
          <w:tcPr/>
          <w:p>
            <w:pPr>
              <w:pStyle w:val="Compact"/>
              <w:jc w:val="left"/>
            </w:pPr>
            <w:r>
              <w:t xml:space="preserve">Video appointment booking</w:t>
            </w:r>
          </w:p>
        </w:tc>
        <w:tc>
          <w:tcPr/>
          <w:p>
            <w:pPr>
              <w:pStyle w:val="Compact"/>
              <w:jc w:val="left"/>
            </w:pPr>
            <w:r>
              <w:t xml:space="preserve">Confirmed booking within 48 hours</w:t>
            </w:r>
          </w:p>
        </w:tc>
      </w:tr>
      <w:tr>
        <w:tc>
          <w:tcPr/>
          <w:p>
            <w:pPr>
              <w:pStyle w:val="Compact"/>
              <w:jc w:val="left"/>
            </w:pPr>
            <w:r>
              <w:t xml:space="preserve">Phone callback</w:t>
            </w:r>
          </w:p>
        </w:tc>
        <w:tc>
          <w:tcPr/>
          <w:p>
            <w:pPr>
              <w:pStyle w:val="Compact"/>
              <w:jc w:val="left"/>
            </w:pPr>
            <w:r>
              <w:t xml:space="preserve">Member-initiated; scheduled same business day</w:t>
            </w:r>
          </w:p>
        </w:tc>
      </w:tr>
      <w:tr>
        <w:tc>
          <w:tcPr/>
          <w:p>
            <w:pPr>
              <w:pStyle w:val="Compact"/>
              <w:jc w:val="left"/>
            </w:pPr>
            <w:r>
              <w:t xml:space="preserve">Clinical question (routed to Dr. Love's team)</w:t>
            </w:r>
          </w:p>
        </w:tc>
        <w:tc>
          <w:tcPr/>
          <w:p>
            <w:pPr>
              <w:pStyle w:val="Compact"/>
              <w:jc w:val="left"/>
            </w:pPr>
            <w:r>
              <w:t xml:space="preserve">Clinical response within 1 business day</w:t>
            </w:r>
          </w:p>
        </w:tc>
      </w:tr>
      <w:tr>
        <w:tc>
          <w:tcPr/>
          <w:p>
            <w:pPr>
              <w:pStyle w:val="Compact"/>
              <w:jc w:val="left"/>
            </w:pPr>
            <w:r>
              <w:t xml:space="preserve">Urgent clinical issue</w:t>
            </w:r>
          </w:p>
        </w:tc>
        <w:tc>
          <w:tcPr/>
          <w:p>
            <w:pPr>
              <w:pStyle w:val="Compact"/>
              <w:jc w:val="left"/>
            </w:pPr>
            <w:r>
              <w:t xml:space="preserve">Triage within 1 hour; escalation to PCP / ER instructions provided immediately</w:t>
            </w:r>
          </w:p>
        </w:tc>
      </w:tr>
      <w:tr>
        <w:tc>
          <w:tcPr/>
          <w:p>
            <w:pPr>
              <w:pStyle w:val="Compact"/>
              <w:jc w:val="left"/>
            </w:pPr>
            <w:r>
              <w:t xml:space="preserve">Concern, complaint, or feature request</w:t>
            </w:r>
          </w:p>
        </w:tc>
        <w:tc>
          <w:tcPr/>
          <w:p>
            <w:pPr>
              <w:pStyle w:val="Compact"/>
              <w:jc w:val="left"/>
            </w:pPr>
            <w:r>
              <w:t xml:space="preserve">Acknowledged within 1 business day; substantive response within 5 business days</w:t>
            </w:r>
          </w:p>
        </w:tc>
      </w:tr>
    </w:tbl>
    <w:p>
      <w:pPr>
        <w:pStyle w:val="BodyText"/>
      </w:pPr>
      <w:r>
        <w:rPr>
          <w:b/>
          <w:bCs/>
        </w:rPr>
        <w:t xml:space="preserve">Member satisfaction measurement.</w:t>
      </w:r>
      <w:r>
        <w:t xml:space="preserve"> </w:t>
      </w:r>
      <w:r>
        <w:t xml:space="preserve">Net Promoter Score (NPS) collection is deployed in Week 6 of the 90-day implementation and runs continuously thereafter. Each enrolled member is surveyed at day 30, day 90, and quarterly. Results are reported to the County in every monthly operational dashboard starting with the first dashboard delivered after the first member cohort crosses day 30, without filtering or selection.</w:t>
      </w:r>
    </w:p>
    <w:p>
      <w:pPr>
        <w:pStyle w:val="BodyText"/>
      </w:pPr>
      <w:r>
        <w:rPr>
          <w:b/>
          <w:bCs/>
        </w:rPr>
        <w:t xml:space="preserve">Accessibility and inclusion.</w:t>
      </w:r>
      <w:r>
        <w:t xml:space="preserve"> </w:t>
      </w:r>
      <w:r>
        <w:t xml:space="preserve">The PWA is designed to WCAG 2.1 AA standards; a third-party conformance audit is delivered during implementation Weeks 4–8 prior to County-wide go-live. Member-facing content is written at a 7th-grade reading level. A Spanish-language member interface and bilingual coach roster will be deployed by end of implementation Week 6, in time for the first enrolled cohort to access Spanish-language coaching from day one of go-live. Reasonable accommodations are supported from day one (extended sessions, assistive-technology compatibility, audio formats) via Dr. Vann's coaching team.</w:t>
      </w:r>
    </w:p>
    <w:p>
      <w:pPr>
        <w:pStyle w:val="BodyText"/>
      </w:pPr>
      <w:r>
        <w:rPr>
          <w:b/>
          <w:bCs/>
        </w:rPr>
        <w:t xml:space="preserve">Member privacy.</w:t>
      </w:r>
      <w:r>
        <w:t xml:space="preserve"> </w:t>
      </w:r>
      <w:r>
        <w:t xml:space="preserve">Individual health data is never shared with the County employer. Only de-identified aggregate data is reported. This distinction is stated to members at enrollment and at every screen where health data is collected.</w:t>
      </w:r>
    </w:p>
    <w:p>
      <w:pPr>
        <w:pStyle w:val="BodyText"/>
      </w:pPr>
      <w:r>
        <w:rPr>
          <w:b/>
          <w:bCs/>
        </w:rPr>
        <w:t xml:space="preserve">Member voice.</w:t>
      </w:r>
      <w:r>
        <w:t xml:space="preserve"> </w:t>
      </w:r>
      <w:r>
        <w:t xml:space="preserve">A monthly summary of member feedback themes is provided to the County in the operational dashboard, with anonymized verbatim where members have consented.</w:t>
      </w:r>
    </w:p>
    <w:p>
      <w:pPr>
        <w:pStyle w:val="BodyText"/>
      </w:pPr>
      <w:r>
        <w:rPr>
          <w:b/>
          <w:bCs/>
        </w:rPr>
        <w:t xml:space="preserve">[Evidence — Criterion III]:</w:t>
      </w:r>
      <w:r>
        <w:t xml:space="preserve"> </w:t>
      </w:r>
      <w:r>
        <w:t xml:space="preserve">Six defined service touchpoints with named response standards (1-business-hour coach message · 48-hour appointment booking · same-business-day callback · 1-business-day clinical response · 1-business-day complaint acknowledgment · 5-business-day complaint resolution). NPS measurement (deployed implementation Week 6) at day 30, day 90, and quarterly. WCAG 2.1 AA design conformance with third-party audit delivered implementation Weeks 4–8. Spanish-language member support (deployed implementation Week 6). Monthly member-feedback reporting to County. Distinct individual-vs-aggregate privacy notice at every health-data collection point. See Section 7.4 (Platform Maturity Status) for the full demo-vs-implementation capability matrix.</w:t>
      </w:r>
    </w:p>
    <w:p>
      <w:r>
        <w:pict>
          <v:rect style="width:0;height:1.5pt" o:hralign="center" o:hrstd="t" o:hr="t"/>
        </w:pict>
      </w:r>
    </w:p>
    <w:bookmarkEnd w:id="67"/>
    <w:bookmarkEnd w:id="68"/>
    <w:bookmarkStart w:id="73" w:name="section-7--implementation-plan"/>
    <w:p>
      <w:pPr>
        <w:pStyle w:val="Heading1"/>
      </w:pPr>
      <w:r>
        <w:t xml:space="preserve">Section 7 — Implementation Plan</w:t>
      </w:r>
    </w:p>
    <w:bookmarkStart w:id="69" w:name="X5a18f3648e403ad704bd4f1cebfa38f57e7209c"/>
    <w:p>
      <w:pPr>
        <w:pStyle w:val="Heading2"/>
      </w:pPr>
      <w:r>
        <w:t xml:space="preserve">7.1 90-day stand-up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Workstream</w:t>
            </w:r>
          </w:p>
        </w:tc>
        <w:tc>
          <w:tcPr/>
          <w:p>
            <w:pPr>
              <w:pStyle w:val="Compact"/>
              <w:jc w:val="left"/>
            </w:pPr>
            <w:r>
              <w:t xml:space="preserve">Milestone</w:t>
            </w:r>
          </w:p>
        </w:tc>
      </w:tr>
      <w:tr>
        <w:tc>
          <w:tcPr/>
          <w:p>
            <w:pPr>
              <w:pStyle w:val="Compact"/>
              <w:jc w:val="left"/>
            </w:pPr>
            <w:r>
              <w:t xml:space="preserve">1–2</w:t>
            </w:r>
          </w:p>
        </w:tc>
        <w:tc>
          <w:tcPr/>
          <w:p>
            <w:pPr>
              <w:pStyle w:val="Compact"/>
              <w:jc w:val="left"/>
            </w:pPr>
            <w:r>
              <w:t xml:space="preserve">Contracting</w:t>
            </w:r>
          </w:p>
        </w:tc>
        <w:tc>
          <w:tcPr/>
          <w:p>
            <w:pPr>
              <w:pStyle w:val="Compact"/>
              <w:jc w:val="left"/>
            </w:pPr>
            <w:r>
              <w:t xml:space="preserve">Contract execution, BAA execution, kickoff meeting with County procurement, HR, and Risk Management</w:t>
            </w:r>
          </w:p>
        </w:tc>
      </w:tr>
      <w:tr>
        <w:tc>
          <w:tcPr/>
          <w:p>
            <w:pPr>
              <w:pStyle w:val="Compact"/>
              <w:jc w:val="left"/>
            </w:pPr>
            <w:r>
              <w:t xml:space="preserve">1–3</w:t>
            </w:r>
          </w:p>
        </w:tc>
        <w:tc>
          <w:tcPr/>
          <w:p>
            <w:pPr>
              <w:pStyle w:val="Compact"/>
              <w:jc w:val="left"/>
            </w:pPr>
            <w:r>
              <w:t xml:space="preserve">Technical</w:t>
            </w:r>
          </w:p>
        </w:tc>
        <w:tc>
          <w:tcPr/>
          <w:p>
            <w:pPr>
              <w:pStyle w:val="Compact"/>
              <w:jc w:val="left"/>
            </w:pPr>
            <w:r>
              <w:t xml:space="preserve">UHC eligibility-feed connection initiated, OptumRx fill-history feed initiated, SSO configuration with County IT</w:t>
            </w:r>
          </w:p>
        </w:tc>
      </w:tr>
      <w:tr>
        <w:tc>
          <w:tcPr/>
          <w:p>
            <w:pPr>
              <w:pStyle w:val="Compact"/>
              <w:jc w:val="left"/>
            </w:pPr>
            <w:r>
              <w:t xml:space="preserve">2–4</w:t>
            </w:r>
          </w:p>
        </w:tc>
        <w:tc>
          <w:tcPr/>
          <w:p>
            <w:pPr>
              <w:pStyle w:val="Compact"/>
              <w:jc w:val="left"/>
            </w:pPr>
            <w:r>
              <w:t xml:space="preserve">Clinical</w:t>
            </w:r>
          </w:p>
        </w:tc>
        <w:tc>
          <w:tcPr/>
          <w:p>
            <w:pPr>
              <w:pStyle w:val="Compact"/>
              <w:jc w:val="left"/>
            </w:pPr>
            <w:r>
              <w:t xml:space="preserve">Dr. Love finalizes program clinical protocols, GLP-1 titration playbook, side-effect management algorithms</w:t>
            </w:r>
          </w:p>
        </w:tc>
      </w:tr>
      <w:tr>
        <w:tc>
          <w:tcPr/>
          <w:p>
            <w:pPr>
              <w:pStyle w:val="Compact"/>
              <w:jc w:val="left"/>
            </w:pPr>
            <w:r>
              <w:t xml:space="preserve">3–5</w:t>
            </w:r>
          </w:p>
        </w:tc>
        <w:tc>
          <w:tcPr/>
          <w:p>
            <w:pPr>
              <w:pStyle w:val="Compact"/>
              <w:jc w:val="left"/>
            </w:pPr>
            <w:r>
              <w:t xml:space="preserve">Coaching</w:t>
            </w:r>
          </w:p>
        </w:tc>
        <w:tc>
          <w:tcPr/>
          <w:p>
            <w:pPr>
              <w:pStyle w:val="Compact"/>
              <w:jc w:val="left"/>
            </w:pPr>
            <w:r>
              <w:t xml:space="preserve">Dr. Vann finalizes coaching curriculum, weekly cadence templates, group-session structure</w:t>
            </w:r>
          </w:p>
        </w:tc>
      </w:tr>
      <w:tr>
        <w:tc>
          <w:tcPr/>
          <w:p>
            <w:pPr>
              <w:pStyle w:val="Compact"/>
              <w:jc w:val="left"/>
            </w:pPr>
            <w:r>
              <w:t xml:space="preserve">4–6</w:t>
            </w:r>
          </w:p>
        </w:tc>
        <w:tc>
          <w:tcPr/>
          <w:p>
            <w:pPr>
              <w:pStyle w:val="Compact"/>
              <w:jc w:val="left"/>
            </w:pPr>
            <w:r>
              <w:t xml:space="preserve">Platform</w:t>
            </w:r>
          </w:p>
        </w:tc>
        <w:tc>
          <w:tcPr/>
          <w:p>
            <w:pPr>
              <w:pStyle w:val="Compact"/>
              <w:jc w:val="left"/>
            </w:pPr>
            <w:r>
              <w:t xml:space="preserve">Vitality PWA tenanted for Sedgwick County; County branding applied; SSO live in test environment</w:t>
            </w:r>
          </w:p>
        </w:tc>
      </w:tr>
      <w:tr>
        <w:tc>
          <w:tcPr/>
          <w:p>
            <w:pPr>
              <w:pStyle w:val="Compact"/>
              <w:jc w:val="left"/>
            </w:pPr>
            <w:r>
              <w:t xml:space="preserve">5–7</w:t>
            </w:r>
          </w:p>
        </w:tc>
        <w:tc>
          <w:tcPr/>
          <w:p>
            <w:pPr>
              <w:pStyle w:val="Compact"/>
              <w:jc w:val="left"/>
            </w:pPr>
            <w:r>
              <w:t xml:space="preserve">Compliance</w:t>
            </w:r>
          </w:p>
        </w:tc>
        <w:tc>
          <w:tcPr/>
          <w:p>
            <w:pPr>
              <w:pStyle w:val="Compact"/>
              <w:jc w:val="left"/>
            </w:pPr>
            <w:r>
              <w:t xml:space="preserve">HIPAA risk assessment complete; security review with County IT</w:t>
            </w:r>
          </w:p>
        </w:tc>
      </w:tr>
      <w:tr>
        <w:tc>
          <w:tcPr/>
          <w:p>
            <w:pPr>
              <w:pStyle w:val="Compact"/>
              <w:jc w:val="left"/>
            </w:pPr>
            <w:r>
              <w:t xml:space="preserve">6–9</w:t>
            </w:r>
          </w:p>
        </w:tc>
        <w:tc>
          <w:tcPr/>
          <w:p>
            <w:pPr>
              <w:pStyle w:val="Compact"/>
              <w:jc w:val="left"/>
            </w:pPr>
            <w:r>
              <w:t xml:space="preserve">Launch readiness</w:t>
            </w:r>
          </w:p>
        </w:tc>
        <w:tc>
          <w:tcPr/>
          <w:p>
            <w:pPr>
              <w:pStyle w:val="Compact"/>
              <w:jc w:val="left"/>
            </w:pPr>
            <w:r>
              <w:t xml:space="preserve">UAT with a 10-member County pilot cohort; integration end-to-end validation</w:t>
            </w:r>
          </w:p>
        </w:tc>
      </w:tr>
      <w:tr>
        <w:tc>
          <w:tcPr/>
          <w:p>
            <w:pPr>
              <w:pStyle w:val="Compact"/>
              <w:jc w:val="left"/>
            </w:pPr>
            <w:r>
              <w:t xml:space="preserve">9–10</w:t>
            </w:r>
          </w:p>
        </w:tc>
        <w:tc>
          <w:tcPr/>
          <w:p>
            <w:pPr>
              <w:pStyle w:val="Compact"/>
              <w:jc w:val="left"/>
            </w:pPr>
            <w:r>
              <w:t xml:space="preserve">Communication</w:t>
            </w:r>
          </w:p>
        </w:tc>
        <w:tc>
          <w:tcPr/>
          <w:p>
            <w:pPr>
              <w:pStyle w:val="Compact"/>
              <w:jc w:val="left"/>
            </w:pPr>
            <w:r>
              <w:t xml:space="preserve">Member-facing communication plan executed (email, intranet, printed materials in County offices)</w:t>
            </w:r>
          </w:p>
        </w:tc>
      </w:tr>
      <w:tr>
        <w:tc>
          <w:tcPr/>
          <w:p>
            <w:pPr>
              <w:pStyle w:val="Compact"/>
              <w:jc w:val="left"/>
            </w:pPr>
            <w:r>
              <w:t xml:space="preserve">10–12</w:t>
            </w:r>
          </w:p>
        </w:tc>
        <w:tc>
          <w:tcPr/>
          <w:p>
            <w:pPr>
              <w:pStyle w:val="Compact"/>
              <w:jc w:val="left"/>
            </w:pPr>
            <w:r>
              <w:t xml:space="preserve">Soft launch</w:t>
            </w:r>
          </w:p>
        </w:tc>
        <w:tc>
          <w:tcPr/>
          <w:p>
            <w:pPr>
              <w:pStyle w:val="Compact"/>
              <w:jc w:val="left"/>
            </w:pPr>
            <w:r>
              <w:t xml:space="preserve">Open enrollment begins; first 100 members onboarded; daily standups with County</w:t>
            </w:r>
          </w:p>
        </w:tc>
      </w:tr>
      <w:tr>
        <w:tc>
          <w:tcPr/>
          <w:p>
            <w:pPr>
              <w:pStyle w:val="Compact"/>
              <w:jc w:val="left"/>
            </w:pPr>
            <w:r>
              <w:t xml:space="preserve">13</w:t>
            </w:r>
          </w:p>
        </w:tc>
        <w:tc>
          <w:tcPr/>
          <w:p>
            <w:pPr>
              <w:pStyle w:val="Compact"/>
              <w:jc w:val="left"/>
            </w:pPr>
            <w:r>
              <w:t xml:space="preserve">Full launch</w:t>
            </w:r>
          </w:p>
        </w:tc>
        <w:tc>
          <w:tcPr/>
          <w:p>
            <w:pPr>
              <w:pStyle w:val="Compact"/>
              <w:jc w:val="left"/>
            </w:pPr>
            <w:r>
              <w:t xml:space="preserve">Program at full operational capacity</w:t>
            </w:r>
          </w:p>
        </w:tc>
      </w:tr>
    </w:tbl>
    <w:bookmarkEnd w:id="69"/>
    <w:bookmarkStart w:id="70" w:name="Xc88c80de345de3b01f424f3c2719f52291685f4"/>
    <w:p>
      <w:pPr>
        <w:pStyle w:val="Heading2"/>
      </w:pPr>
      <w:r>
        <w:t xml:space="preserve">7.2 Risk register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UHC eligibility-feed delay</w:t>
            </w:r>
          </w:p>
        </w:tc>
        <w:tc>
          <w:tcPr/>
          <w:p>
            <w:pPr>
              <w:pStyle w:val="Compact"/>
              <w:jc w:val="left"/>
            </w:pPr>
            <w:r>
              <w:t xml:space="preserve">Manual roster upload as bridge; standard UHC integration is well-precedented</w:t>
            </w:r>
          </w:p>
        </w:tc>
      </w:tr>
      <w:tr>
        <w:tc>
          <w:tcPr/>
          <w:p>
            <w:pPr>
              <w:pStyle w:val="Compact"/>
              <w:jc w:val="left"/>
            </w:pPr>
            <w:r>
              <w:t xml:space="preserve">OptumRx feed delay</w:t>
            </w:r>
          </w:p>
        </w:tc>
        <w:tc>
          <w:tcPr/>
          <w:p>
            <w:pPr>
              <w:pStyle w:val="Compact"/>
              <w:jc w:val="left"/>
            </w:pPr>
            <w:r>
              <w:t xml:space="preserve">Member self-report of GLP-1 status as bridge; manual reconciliation until automated feed live</w:t>
            </w:r>
          </w:p>
        </w:tc>
      </w:tr>
      <w:tr>
        <w:tc>
          <w:tcPr/>
          <w:p>
            <w:pPr>
              <w:pStyle w:val="Compact"/>
              <w:jc w:val="left"/>
            </w:pPr>
            <w:r>
              <w:t xml:space="preserve">Low initial enrollment</w:t>
            </w:r>
          </w:p>
        </w:tc>
        <w:tc>
          <w:tcPr/>
          <w:p>
            <w:pPr>
              <w:pStyle w:val="Compact"/>
              <w:jc w:val="left"/>
            </w:pPr>
            <w:r>
              <w:t xml:space="preserve">Targeted communication plan; incentive structure in coordination with County HR</w:t>
            </w:r>
          </w:p>
        </w:tc>
      </w:tr>
      <w:tr>
        <w:tc>
          <w:tcPr/>
          <w:p>
            <w:pPr>
              <w:pStyle w:val="Compact"/>
              <w:jc w:val="left"/>
            </w:pPr>
            <w:r>
              <w:t xml:space="preserve">Member skepticism of new program</w:t>
            </w:r>
          </w:p>
        </w:tc>
        <w:tc>
          <w:tcPr/>
          <w:p>
            <w:pPr>
              <w:pStyle w:val="Compact"/>
              <w:jc w:val="left"/>
            </w:pPr>
            <w:r>
              <w:t xml:space="preserve">Dr. Love's local Wichita presence; testimonials from Phase 1 cohort; transparent reporting on outcomes</w:t>
            </w:r>
          </w:p>
        </w:tc>
      </w:tr>
      <w:tr>
        <w:tc>
          <w:tcPr/>
          <w:p>
            <w:pPr>
              <w:pStyle w:val="Compact"/>
              <w:jc w:val="left"/>
            </w:pPr>
            <w:r>
              <w:t xml:space="preserve">County turnover during contract</w:t>
            </w:r>
          </w:p>
        </w:tc>
        <w:tc>
          <w:tcPr/>
          <w:p>
            <w:pPr>
              <w:pStyle w:val="Compact"/>
              <w:jc w:val="left"/>
            </w:pPr>
            <w:r>
              <w:t xml:space="preserve">Single-point-of-contact through the Prime (Dr. Love, with administrative routing through HIS); documented runbooks; quarterly executive briefings to ensure continuity across personnel changes</w:t>
            </w:r>
          </w:p>
        </w:tc>
      </w:tr>
    </w:tbl>
    <w:bookmarkEnd w:id="70"/>
    <w:bookmarkStart w:id="71" w:name="X528cc804352b3cf34c2d64ca05aba372d5e6ac6"/>
    <w:p>
      <w:pPr>
        <w:pStyle w:val="Heading2"/>
      </w:pPr>
      <w:r>
        <w:t xml:space="preserve">7.3 Assistance requested from County staff</w:t>
      </w:r>
    </w:p>
    <w:p>
      <w:pPr>
        <w:pStyle w:val="FirstParagraph"/>
      </w:pPr>
      <w:r>
        <w:t xml:space="preserve">Per the RFP's required-content provision that vendors describe assistance sought from County staff, the Vitality team requests the following coordination from designated County personnel during the 90-day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From</w:t>
            </w:r>
          </w:p>
        </w:tc>
        <w:tc>
          <w:tcPr/>
          <w:p>
            <w:pPr>
              <w:pStyle w:val="Compact"/>
              <w:jc w:val="left"/>
            </w:pPr>
            <w:r>
              <w:t xml:space="preserve">Assistance requested</w:t>
            </w:r>
          </w:p>
        </w:tc>
        <w:tc>
          <w:tcPr/>
          <w:p>
            <w:pPr>
              <w:pStyle w:val="Compact"/>
              <w:jc w:val="left"/>
            </w:pPr>
            <w:r>
              <w:t xml:space="preserve">When</w:t>
            </w:r>
          </w:p>
        </w:tc>
      </w:tr>
      <w:tr>
        <w:tc>
          <w:tcPr/>
          <w:p>
            <w:pPr>
              <w:pStyle w:val="Compact"/>
              <w:jc w:val="left"/>
            </w:pPr>
            <w:r>
              <w:t xml:space="preserve">County HR</w:t>
            </w:r>
          </w:p>
        </w:tc>
        <w:tc>
          <w:tcPr/>
          <w:p>
            <w:pPr>
              <w:pStyle w:val="Compact"/>
              <w:jc w:val="left"/>
            </w:pPr>
            <w:r>
              <w:t xml:space="preserve">Employee roster sign-off; communication-plan review; coordination of all-employee enrollment communications; benefits-portal placement</w:t>
            </w:r>
          </w:p>
        </w:tc>
        <w:tc>
          <w:tcPr/>
          <w:p>
            <w:pPr>
              <w:pStyle w:val="Compact"/>
              <w:jc w:val="left"/>
            </w:pPr>
            <w:r>
              <w:t xml:space="preserve">Weeks 1–10</w:t>
            </w:r>
          </w:p>
        </w:tc>
      </w:tr>
      <w:tr>
        <w:tc>
          <w:tcPr/>
          <w:p>
            <w:pPr>
              <w:pStyle w:val="Compact"/>
              <w:jc w:val="left"/>
            </w:pPr>
            <w:r>
              <w:t xml:space="preserve">County Risk Management</w:t>
            </w:r>
          </w:p>
        </w:tc>
        <w:tc>
          <w:tcPr/>
          <w:p>
            <w:pPr>
              <w:pStyle w:val="Compact"/>
              <w:jc w:val="left"/>
            </w:pPr>
            <w:r>
              <w:t xml:space="preserve">Business Associate Agreement execution; contract execution; insurance certificate review; KORA coordination</w:t>
            </w:r>
          </w:p>
        </w:tc>
        <w:tc>
          <w:tcPr/>
          <w:p>
            <w:pPr>
              <w:pStyle w:val="Compact"/>
              <w:jc w:val="left"/>
            </w:pPr>
            <w:r>
              <w:t xml:space="preserve">Weeks 1–3</w:t>
            </w:r>
          </w:p>
        </w:tc>
      </w:tr>
      <w:tr>
        <w:tc>
          <w:tcPr/>
          <w:p>
            <w:pPr>
              <w:pStyle w:val="Compact"/>
              <w:jc w:val="left"/>
            </w:pPr>
            <w:r>
              <w:t xml:space="preserve">County IT</w:t>
            </w:r>
          </w:p>
        </w:tc>
        <w:tc>
          <w:tcPr/>
          <w:p>
            <w:pPr>
              <w:pStyle w:val="Compact"/>
              <w:jc w:val="left"/>
            </w:pPr>
            <w:r>
              <w:t xml:space="preserve">SSO (Azure AD / Entra) configuration; security review of Vitality platform; firewall / DNS allowance for SFTP and API endpoints</w:t>
            </w:r>
          </w:p>
        </w:tc>
        <w:tc>
          <w:tcPr/>
          <w:p>
            <w:pPr>
              <w:pStyle w:val="Compact"/>
              <w:jc w:val="left"/>
            </w:pPr>
            <w:r>
              <w:t xml:space="preserve">Weeks 1–6</w:t>
            </w:r>
          </w:p>
        </w:tc>
      </w:tr>
      <w:tr>
        <w:tc>
          <w:tcPr/>
          <w:p>
            <w:pPr>
              <w:pStyle w:val="Compact"/>
              <w:jc w:val="left"/>
            </w:pPr>
            <w:r>
              <w:t xml:space="preserve">County Finance</w:t>
            </w:r>
          </w:p>
        </w:tc>
        <w:tc>
          <w:tcPr/>
          <w:p>
            <w:pPr>
              <w:pStyle w:val="Compact"/>
              <w:jc w:val="left"/>
            </w:pPr>
            <w:r>
              <w:t xml:space="preserve">AP setup for the Prime (Love Clinic &amp; Med Spa, LLC); payment-terms confirmation; invoice-routing setup</w:t>
            </w:r>
          </w:p>
        </w:tc>
        <w:tc>
          <w:tcPr/>
          <w:p>
            <w:pPr>
              <w:pStyle w:val="Compact"/>
              <w:jc w:val="left"/>
            </w:pPr>
            <w:r>
              <w:t xml:space="preserve">Weeks 1–3</w:t>
            </w:r>
          </w:p>
        </w:tc>
      </w:tr>
      <w:tr>
        <w:tc>
          <w:tcPr/>
          <w:p>
            <w:pPr>
              <w:pStyle w:val="Compact"/>
              <w:jc w:val="left"/>
            </w:pPr>
            <w:r>
              <w:t xml:space="preserve">UnitedHealthcare integration sponsor (County contact at UHC)</w:t>
            </w:r>
          </w:p>
        </w:tc>
        <w:tc>
          <w:tcPr/>
          <w:p>
            <w:pPr>
              <w:pStyle w:val="Compact"/>
              <w:jc w:val="left"/>
            </w:pPr>
            <w:r>
              <w:t xml:space="preserve">Authorization for eligibility-feed connection and de-identified claims extract under BAA</w:t>
            </w:r>
          </w:p>
        </w:tc>
        <w:tc>
          <w:tcPr/>
          <w:p>
            <w:pPr>
              <w:pStyle w:val="Compact"/>
              <w:jc w:val="left"/>
            </w:pPr>
            <w:r>
              <w:t xml:space="preserve">Weeks 2–6</w:t>
            </w:r>
          </w:p>
        </w:tc>
      </w:tr>
      <w:tr>
        <w:tc>
          <w:tcPr/>
          <w:p>
            <w:pPr>
              <w:pStyle w:val="Compact"/>
              <w:jc w:val="left"/>
            </w:pPr>
            <w:r>
              <w:t xml:space="preserve">OptumRx integration sponsor (County contact at OptumRx)</w:t>
            </w:r>
          </w:p>
        </w:tc>
        <w:tc>
          <w:tcPr/>
          <w:p>
            <w:pPr>
              <w:pStyle w:val="Compact"/>
              <w:jc w:val="left"/>
            </w:pPr>
            <w:r>
              <w:t xml:space="preserve">Authorization for prior-auth status read and weekly fill-history feed under BAA</w:t>
            </w:r>
          </w:p>
        </w:tc>
        <w:tc>
          <w:tcPr/>
          <w:p>
            <w:pPr>
              <w:pStyle w:val="Compact"/>
              <w:jc w:val="left"/>
            </w:pPr>
            <w:r>
              <w:t xml:space="preserve">Weeks 2–6</w:t>
            </w:r>
          </w:p>
        </w:tc>
      </w:tr>
      <w:tr>
        <w:tc>
          <w:tcPr/>
          <w:p>
            <w:pPr>
              <w:pStyle w:val="Compact"/>
              <w:jc w:val="left"/>
            </w:pPr>
            <w:r>
              <w:t xml:space="preserve">Rally / UHC wellness-platform contact</w:t>
            </w:r>
          </w:p>
        </w:tc>
        <w:tc>
          <w:tcPr/>
          <w:p>
            <w:pPr>
              <w:pStyle w:val="Compact"/>
              <w:jc w:val="left"/>
            </w:pPr>
            <w:r>
              <w:t xml:space="preserve">SSO hand-off configuration; engagement-data exchange agreement</w:t>
            </w:r>
          </w:p>
        </w:tc>
        <w:tc>
          <w:tcPr/>
          <w:p>
            <w:pPr>
              <w:pStyle w:val="Compact"/>
              <w:jc w:val="left"/>
            </w:pPr>
            <w:r>
              <w:t xml:space="preserve">Weeks 3–6</w:t>
            </w:r>
          </w:p>
        </w:tc>
      </w:tr>
      <w:tr>
        <w:tc>
          <w:tcPr/>
          <w:p>
            <w:pPr>
              <w:pStyle w:val="Compact"/>
              <w:jc w:val="left"/>
            </w:pPr>
            <w:r>
              <w:t xml:space="preserve">County executive sponsor (County Manager or designee)</w:t>
            </w:r>
          </w:p>
        </w:tc>
        <w:tc>
          <w:tcPr/>
          <w:p>
            <w:pPr>
              <w:pStyle w:val="Compact"/>
              <w:jc w:val="left"/>
            </w:pPr>
            <w:r>
              <w:t xml:space="preserve">Single named executive sponsor for escalation and quarterly briefings</w:t>
            </w:r>
          </w:p>
        </w:tc>
        <w:tc>
          <w:tcPr/>
          <w:p>
            <w:pPr>
              <w:pStyle w:val="Compact"/>
              <w:jc w:val="left"/>
            </w:pPr>
            <w:r>
              <w:t xml:space="preserve">Throughout</w:t>
            </w:r>
          </w:p>
        </w:tc>
      </w:tr>
    </w:tbl>
    <w:p>
      <w:pPr>
        <w:pStyle w:val="BodyText"/>
      </w:pPr>
      <w:r>
        <w:t xml:space="preserve">The Vitality team estimates approximately</w:t>
      </w:r>
      <w:r>
        <w:t xml:space="preserve"> </w:t>
      </w:r>
      <w:r>
        <w:rPr>
          <w:b/>
          <w:bCs/>
        </w:rPr>
        <w:t xml:space="preserve">15–25 hours of cumulative County staff time across the 90-day implementation</w:t>
      </w:r>
      <w:r>
        <w:t xml:space="preserve">, concentrated in Weeks 1–6 and tapering thereafter. After go-live, ongoing County staff time is expected to be</w:t>
      </w:r>
      <w:r>
        <w:t xml:space="preserve"> </w:t>
      </w:r>
      <w:r>
        <w:rPr>
          <w:b/>
          <w:bCs/>
        </w:rPr>
        <w:t xml:space="preserve">2–4 hours per month</w:t>
      </w:r>
      <w:r>
        <w:t xml:space="preserve"> </w:t>
      </w:r>
      <w:r>
        <w:t xml:space="preserve">for operational dashboard review, plus the quarterly executive briefing.</w:t>
      </w:r>
    </w:p>
    <w:p>
      <w:r>
        <w:pict>
          <v:rect style="width:0;height:1.5pt" o:hralign="center" o:hrstd="t" o:hr="t"/>
        </w:pict>
      </w:r>
    </w:p>
    <w:bookmarkEnd w:id="71"/>
    <w:bookmarkStart w:id="72" w:name="X771e1c838e741787fad8cfb1a38d859a15eb41e"/>
    <w:p>
      <w:pPr>
        <w:pStyle w:val="Heading2"/>
      </w:pPr>
      <w:r>
        <w:t xml:space="preserve">7.4 Platform Maturity Status — Demo vs. Implementation Deliverables</w:t>
      </w:r>
    </w:p>
    <w:p>
      <w:pPr>
        <w:pStyle w:val="FirstParagraph"/>
      </w:pPr>
      <w:r>
        <w:t xml:space="preserve">In the interest of full transparency, this section maps every capability referenced in this proposal against its status in the live demonstration platform (employeehealth.replit.app) versus what is delivered during the 90-day implementation. The County should expect every "Implementation Week X" item below to be production-live by the corresponding week of the implementation timeline in Section 7.1, in advance of County-wide member go-live.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Status in live demo (today)</w:t>
            </w:r>
          </w:p>
        </w:tc>
        <w:tc>
          <w:tcPr/>
          <w:p>
            <w:pPr>
              <w:pStyle w:val="Compact"/>
              <w:jc w:val="left"/>
            </w:pPr>
            <w:r>
              <w:t xml:space="preserve">Delivered by</w:t>
            </w:r>
          </w:p>
        </w:tc>
        <w:tc>
          <w:tcPr/>
          <w:p>
            <w:pPr>
              <w:pStyle w:val="Compact"/>
              <w:jc w:val="left"/>
            </w:pPr>
            <w:r>
              <w:t xml:space="preserve">Notes</w:t>
            </w:r>
          </w:p>
        </w:tc>
      </w:tr>
      <w:tr>
        <w:tc>
          <w:tcPr/>
          <w:p>
            <w:pPr>
              <w:pStyle w:val="Compact"/>
              <w:jc w:val="left"/>
            </w:pPr>
            <w:r>
              <w:t xml:space="preserve">Member portal (weight, milestones, care plan)</w:t>
            </w:r>
          </w:p>
        </w:tc>
        <w:tc>
          <w:tcPr/>
          <w:p>
            <w:pPr>
              <w:pStyle w:val="Compact"/>
              <w:jc w:val="left"/>
            </w:pPr>
            <w:r>
              <w:rPr>
                <w:b/>
                <w:bCs/>
              </w:rPr>
              <w:t xml:space="preserve">Live</w:t>
            </w:r>
          </w:p>
        </w:tc>
        <w:tc>
          <w:tcPr/>
          <w:p>
            <w:pPr>
              <w:pStyle w:val="Compact"/>
              <w:jc w:val="left"/>
            </w:pPr>
            <w:r>
              <w:t xml:space="preserve">Day 1</w:t>
            </w:r>
          </w:p>
        </w:tc>
        <w:tc>
          <w:tcPr/>
          <w:p>
            <w:pPr>
              <w:pStyle w:val="Compact"/>
              <w:jc w:val="left"/>
            </w:pPr>
            <w:r>
              <w:t xml:space="preserve">Working against seeded demo member; County-tenanted data on Week 4</w:t>
            </w:r>
          </w:p>
        </w:tc>
      </w:tr>
      <w:tr>
        <w:tc>
          <w:tcPr/>
          <w:p>
            <w:pPr>
              <w:pStyle w:val="Compact"/>
              <w:jc w:val="left"/>
            </w:pPr>
            <w:r>
              <w:t xml:space="preserve">5-step member onboarding wizard</w:t>
            </w:r>
          </w:p>
        </w:tc>
        <w:tc>
          <w:tcPr/>
          <w:p>
            <w:pPr>
              <w:pStyle w:val="Compact"/>
              <w:jc w:val="left"/>
            </w:pPr>
            <w:r>
              <w:rPr>
                <w:b/>
                <w:bCs/>
              </w:rPr>
              <w:t xml:space="preserve">Live</w:t>
            </w:r>
          </w:p>
        </w:tc>
        <w:tc>
          <w:tcPr/>
          <w:p>
            <w:pPr>
              <w:pStyle w:val="Compact"/>
              <w:jc w:val="left"/>
            </w:pPr>
            <w:r>
              <w:t xml:space="preserve">Day 1</w:t>
            </w:r>
          </w:p>
        </w:tc>
        <w:tc>
          <w:tcPr/>
          <w:p>
            <w:pPr>
              <w:pStyle w:val="Compact"/>
              <w:jc w:val="left"/>
            </w:pPr>
            <w:r>
              <w:t xml:space="preserve">Working end-to-end</w:t>
            </w:r>
          </w:p>
        </w:tc>
      </w:tr>
      <w:tr>
        <w:tc>
          <w:tcPr/>
          <w:p>
            <w:pPr>
              <w:pStyle w:val="Compact"/>
              <w:jc w:val="left"/>
            </w:pPr>
            <w:r>
              <w:t xml:space="preserve">Employer command center (KPIs, ROI, GLP-1 pipeline, alerts, engagement)</w:t>
            </w:r>
          </w:p>
        </w:tc>
        <w:tc>
          <w:tcPr/>
          <w:p>
            <w:pPr>
              <w:pStyle w:val="Compact"/>
              <w:jc w:val="left"/>
            </w:pPr>
            <w:r>
              <w:rPr>
                <w:b/>
                <w:bCs/>
              </w:rPr>
              <w:t xml:space="preserve">Live</w:t>
            </w:r>
          </w:p>
        </w:tc>
        <w:tc>
          <w:tcPr/>
          <w:p>
            <w:pPr>
              <w:pStyle w:val="Compact"/>
              <w:jc w:val="left"/>
            </w:pPr>
            <w:r>
              <w:t xml:space="preserve">Day 1</w:t>
            </w:r>
          </w:p>
        </w:tc>
        <w:tc>
          <w:tcPr/>
          <w:p>
            <w:pPr>
              <w:pStyle w:val="Compact"/>
              <w:jc w:val="left"/>
            </w:pPr>
            <w:r>
              <w:t xml:space="preserve">Real endpoints; verified</w:t>
            </w:r>
          </w:p>
        </w:tc>
      </w:tr>
      <w:tr>
        <w:tc>
          <w:tcPr/>
          <w:p>
            <w:pPr>
              <w:pStyle w:val="Compact"/>
              <w:jc w:val="left"/>
            </w:pPr>
            <w:r>
              <w:t xml:space="preserve">VITA AI coaching (member mode) — persistent memory, member context, evidence citations</w:t>
            </w:r>
          </w:p>
        </w:tc>
        <w:tc>
          <w:tcPr/>
          <w:p>
            <w:pPr>
              <w:pStyle w:val="Compact"/>
              <w:jc w:val="left"/>
            </w:pPr>
            <w:r>
              <w:rPr>
                <w:b/>
                <w:bCs/>
              </w:rPr>
              <w:t xml:space="preserve">Live</w:t>
            </w:r>
          </w:p>
        </w:tc>
        <w:tc>
          <w:tcPr/>
          <w:p>
            <w:pPr>
              <w:pStyle w:val="Compact"/>
              <w:jc w:val="left"/>
            </w:pPr>
            <w:r>
              <w:t xml:space="preserve">Day 1</w:t>
            </w:r>
          </w:p>
        </w:tc>
        <w:tc>
          <w:tcPr/>
          <w:p>
            <w:pPr>
              <w:pStyle w:val="Compact"/>
              <w:jc w:val="left"/>
            </w:pPr>
            <w:r>
              <w:t xml:space="preserve">Anthropic Claude via Replit AI Integrations; conversations persisted in Postgres</w:t>
            </w:r>
          </w:p>
        </w:tc>
      </w:tr>
      <w:tr>
        <w:tc>
          <w:tcPr/>
          <w:p>
            <w:pPr>
              <w:pStyle w:val="Compact"/>
              <w:jc w:val="left"/>
            </w:pPr>
            <w:r>
              <w:t xml:space="preserve">VITA AI advisor (employer mode)</w:t>
            </w:r>
          </w:p>
        </w:tc>
        <w:tc>
          <w:tcPr/>
          <w:p>
            <w:pPr>
              <w:pStyle w:val="Compact"/>
              <w:jc w:val="left"/>
            </w:pPr>
            <w:r>
              <w:rPr>
                <w:b/>
                <w:bCs/>
              </w:rPr>
              <w:t xml:space="preserve">Live</w:t>
            </w:r>
          </w:p>
        </w:tc>
        <w:tc>
          <w:tcPr/>
          <w:p>
            <w:pPr>
              <w:pStyle w:val="Compact"/>
              <w:jc w:val="left"/>
            </w:pPr>
            <w:r>
              <w:t xml:space="preserve">Day 1</w:t>
            </w:r>
          </w:p>
        </w:tc>
        <w:tc>
          <w:tcPr/>
          <w:p>
            <w:pPr>
              <w:pStyle w:val="Compact"/>
              <w:jc w:val="left"/>
            </w:pPr>
            <w:r>
              <w:t xml:space="preserve">Same persistence model</w:t>
            </w:r>
          </w:p>
        </w:tc>
      </w:tr>
      <w:tr>
        <w:tc>
          <w:tcPr/>
          <w:p>
            <w:pPr>
              <w:pStyle w:val="Compact"/>
              <w:jc w:val="left"/>
            </w:pPr>
            <w:r>
              <w:t xml:space="preserve">Document RAG (Knowledge Vault) — PDF/DOCX/TXT/CSV/MD upload, parsing, RAG injection</w:t>
            </w:r>
          </w:p>
        </w:tc>
        <w:tc>
          <w:tcPr/>
          <w:p>
            <w:pPr>
              <w:pStyle w:val="Compact"/>
              <w:jc w:val="left"/>
            </w:pPr>
            <w:r>
              <w:rPr>
                <w:b/>
                <w:bCs/>
              </w:rPr>
              <w:t xml:space="preserve">Live</w:t>
            </w:r>
          </w:p>
        </w:tc>
        <w:tc>
          <w:tcPr/>
          <w:p>
            <w:pPr>
              <w:pStyle w:val="Compact"/>
              <w:jc w:val="left"/>
            </w:pPr>
            <w:r>
              <w:t xml:space="preserve">Day 1</w:t>
            </w:r>
          </w:p>
        </w:tc>
        <w:tc>
          <w:tcPr/>
          <w:p>
            <w:pPr>
              <w:pStyle w:val="Compact"/>
              <w:jc w:val="left"/>
            </w:pPr>
            <w:r>
              <w:t xml:space="preserve">Used by VITA on every message</w:t>
            </w:r>
          </w:p>
        </w:tc>
      </w:tr>
      <w:tr>
        <w:tc>
          <w:tcPr/>
          <w:p>
            <w:pPr>
              <w:pStyle w:val="Compact"/>
              <w:jc w:val="left"/>
            </w:pPr>
            <w:r>
              <w:t xml:space="preserve">County Explorer — nationwide benchmarks</w:t>
            </w:r>
          </w:p>
        </w:tc>
        <w:tc>
          <w:tcPr/>
          <w:p>
            <w:pPr>
              <w:pStyle w:val="Compact"/>
              <w:jc w:val="left"/>
            </w:pPr>
            <w:r>
              <w:rPr>
                <w:b/>
                <w:bCs/>
              </w:rPr>
              <w:t xml:space="preserve">Live (seeded)</w:t>
            </w:r>
          </w:p>
        </w:tc>
        <w:tc>
          <w:tcPr/>
          <w:p>
            <w:pPr>
              <w:pStyle w:val="Compact"/>
              <w:jc w:val="left"/>
            </w:pPr>
            <w:r>
              <w:t xml:space="preserve">Day 1</w:t>
            </w:r>
          </w:p>
        </w:tc>
        <w:tc>
          <w:tcPr/>
          <w:p>
            <w:pPr>
              <w:pStyle w:val="Compact"/>
              <w:jc w:val="left"/>
            </w:pPr>
            <w:r>
              <w:t xml:space="preserve">10 counties seeded; expanded to all 3,143 US counties on Implementation Week 8 via CDC PLACES bulk load</w:t>
            </w:r>
          </w:p>
        </w:tc>
      </w:tr>
      <w:tr>
        <w:tc>
          <w:tcPr/>
          <w:p>
            <w:pPr>
              <w:pStyle w:val="Compact"/>
              <w:jc w:val="left"/>
            </w:pPr>
            <w:r>
              <w:t xml:space="preserve">Counterfactual ROI engine (Y1 0.56x · Y3 1.01x · Y5 1.32x conservative model)</w:t>
            </w:r>
          </w:p>
        </w:tc>
        <w:tc>
          <w:tcPr/>
          <w:p>
            <w:pPr>
              <w:pStyle w:val="Compact"/>
              <w:jc w:val="left"/>
            </w:pPr>
            <w:r>
              <w:rPr>
                <w:b/>
                <w:bCs/>
              </w:rPr>
              <w:t xml:space="preserve">Live</w:t>
            </w:r>
          </w:p>
        </w:tc>
        <w:tc>
          <w:tcPr/>
          <w:p>
            <w:pPr>
              <w:pStyle w:val="Compact"/>
              <w:jc w:val="left"/>
            </w:pPr>
            <w:r>
              <w:t xml:space="preserve">Day 1</w:t>
            </w:r>
          </w:p>
        </w:tc>
        <w:tc>
          <w:tcPr/>
          <w:p>
            <w:pPr>
              <w:pStyle w:val="Compact"/>
              <w:jc w:val="left"/>
            </w:pPr>
            <w:r>
              <w:t xml:space="preserve">Single source of truth in API; matches proposal</w:t>
            </w:r>
          </w:p>
        </w:tc>
      </w:tr>
      <w:tr>
        <w:tc>
          <w:tcPr/>
          <w:p>
            <w:pPr>
              <w:pStyle w:val="Compact"/>
              <w:jc w:val="left"/>
            </w:pPr>
            <w:r>
              <w:t xml:space="preserve">FHIR R4 export per member</w:t>
            </w:r>
          </w:p>
        </w:tc>
        <w:tc>
          <w:tcPr/>
          <w:p>
            <w:pPr>
              <w:pStyle w:val="Compact"/>
              <w:jc w:val="left"/>
            </w:pPr>
            <w:r>
              <w:rPr>
                <w:b/>
                <w:bCs/>
              </w:rPr>
              <w:t xml:space="preserve">Live</w:t>
            </w:r>
          </w:p>
        </w:tc>
        <w:tc>
          <w:tcPr/>
          <w:p>
            <w:pPr>
              <w:pStyle w:val="Compact"/>
              <w:jc w:val="left"/>
            </w:pPr>
            <w:r>
              <w:t xml:space="preserve">Day 1</w:t>
            </w:r>
          </w:p>
        </w:tc>
        <w:tc>
          <w:tcPr/>
          <w:p>
            <w:pPr>
              <w:pStyle w:val="Compact"/>
              <w:jc w:val="left"/>
            </w:pPr>
            <w:r>
              <w:rPr>
                <w:rStyle w:val="VerbatimChar"/>
              </w:rPr>
              <w:t xml:space="preserve">/api/export/fhir/:memberId</w:t>
            </w:r>
            <w:r>
              <w:t xml:space="preserve">; verified 8.3 KB Bundle response</w:t>
            </w:r>
          </w:p>
        </w:tc>
      </w:tr>
      <w:tr>
        <w:tc>
          <w:tcPr/>
          <w:p>
            <w:pPr>
              <w:pStyle w:val="Compact"/>
              <w:jc w:val="left"/>
            </w:pPr>
            <w:r>
              <w:t xml:space="preserve">CSV analytics export</w:t>
            </w:r>
          </w:p>
        </w:tc>
        <w:tc>
          <w:tcPr/>
          <w:p>
            <w:pPr>
              <w:pStyle w:val="Compact"/>
              <w:jc w:val="left"/>
            </w:pPr>
            <w:r>
              <w:rPr>
                <w:b/>
                <w:bCs/>
              </w:rPr>
              <w:t xml:space="preserve">Live</w:t>
            </w:r>
          </w:p>
        </w:tc>
        <w:tc>
          <w:tcPr/>
          <w:p>
            <w:pPr>
              <w:pStyle w:val="Compact"/>
              <w:jc w:val="left"/>
            </w:pPr>
            <w:r>
              <w:t xml:space="preserve">Day 1</w:t>
            </w:r>
          </w:p>
        </w:tc>
        <w:tc>
          <w:tcPr/>
          <w:p>
            <w:pPr>
              <w:pStyle w:val="Compact"/>
              <w:jc w:val="left"/>
            </w:pPr>
            <w:r>
              <w:rPr>
                <w:rStyle w:val="VerbatimChar"/>
              </w:rPr>
              <w:t xml:space="preserve">/api/export/analytics</w:t>
            </w:r>
            <w:r>
              <w:t xml:space="preserve">; verified</w:t>
            </w:r>
          </w:p>
        </w:tc>
      </w:tr>
      <w:tr>
        <w:tc>
          <w:tcPr/>
          <w:p>
            <w:pPr>
              <w:pStyle w:val="Compact"/>
              <w:jc w:val="left"/>
            </w:pPr>
            <w:r>
              <w:rPr>
                <w:b/>
                <w:bCs/>
              </w:rPr>
              <w:t xml:space="preserve">PDF dashboard snapshot export</w:t>
            </w:r>
          </w:p>
        </w:tc>
        <w:tc>
          <w:tcPr/>
          <w:p>
            <w:pPr>
              <w:pStyle w:val="Compact"/>
              <w:jc w:val="left"/>
            </w:pPr>
            <w:r>
              <w:t xml:space="preserve">Not in demo</w:t>
            </w:r>
          </w:p>
        </w:tc>
        <w:tc>
          <w:tcPr/>
          <w:p>
            <w:pPr>
              <w:pStyle w:val="Compact"/>
              <w:jc w:val="left"/>
            </w:pPr>
            <w:r>
              <w:rPr>
                <w:b/>
                <w:bCs/>
              </w:rPr>
              <w:t xml:space="preserve">Implementation Week 6</w:t>
            </w:r>
          </w:p>
        </w:tc>
        <w:tc>
          <w:tcPr/>
          <w:p>
            <w:pPr>
              <w:pStyle w:val="Compact"/>
              <w:jc w:val="left"/>
            </w:pPr>
            <w:r>
              <w:t xml:space="preserve">Generated server-side from the live dashboard; included in monthly cadence per §9.2</w:t>
            </w:r>
          </w:p>
        </w:tc>
      </w:tr>
      <w:tr>
        <w:tc>
          <w:tcPr/>
          <w:p>
            <w:pPr>
              <w:pStyle w:val="Compact"/>
              <w:jc w:val="left"/>
            </w:pPr>
            <w:r>
              <w:rPr>
                <w:b/>
                <w:bCs/>
              </w:rPr>
              <w:t xml:space="preserve">CDC BRFSS / PLACES live API hook</w:t>
            </w:r>
            <w:r>
              <w:t xml:space="preserve"> </w:t>
            </w:r>
            <w:r>
              <w:t xml:space="preserve">(auto-refresh on annual data release)</w:t>
            </w:r>
          </w:p>
        </w:tc>
        <w:tc>
          <w:tcPr/>
          <w:p>
            <w:pPr>
              <w:pStyle w:val="Compact"/>
              <w:jc w:val="left"/>
            </w:pPr>
            <w:r>
              <w:t xml:space="preserve">Not in demo — seeded data only</w:t>
            </w:r>
          </w:p>
        </w:tc>
        <w:tc>
          <w:tcPr/>
          <w:p>
            <w:pPr>
              <w:pStyle w:val="Compact"/>
              <w:jc w:val="left"/>
            </w:pPr>
            <w:r>
              <w:rPr>
                <w:b/>
                <w:bCs/>
              </w:rPr>
              <w:t xml:space="preserve">Implementation Week 6</w:t>
            </w:r>
          </w:p>
        </w:tc>
        <w:tc>
          <w:tcPr/>
          <w:p>
            <w:pPr>
              <w:pStyle w:val="Compact"/>
              <w:jc w:val="left"/>
            </w:pPr>
            <w:r>
              <w:t xml:space="preserve">Annual auto-refresh; demo uses CDC PLACES 2023 figures with explicit data-vintage labeling</w:t>
            </w:r>
          </w:p>
        </w:tc>
      </w:tr>
      <w:tr>
        <w:tc>
          <w:tcPr/>
          <w:p>
            <w:pPr>
              <w:pStyle w:val="Compact"/>
              <w:jc w:val="left"/>
            </w:pPr>
            <w:r>
              <w:rPr>
                <w:b/>
                <w:bCs/>
              </w:rPr>
              <w:t xml:space="preserve">SSO — Microsoft Entra ID / Azure AD (SAML 2.0 and OIDC)</w:t>
            </w:r>
          </w:p>
        </w:tc>
        <w:tc>
          <w:tcPr/>
          <w:p>
            <w:pPr>
              <w:pStyle w:val="Compact"/>
              <w:jc w:val="left"/>
            </w:pPr>
            <w:r>
              <w:t xml:space="preserve">Not in demo</w:t>
            </w:r>
          </w:p>
        </w:tc>
        <w:tc>
          <w:tcPr/>
          <w:p>
            <w:pPr>
              <w:pStyle w:val="Compact"/>
              <w:jc w:val="left"/>
            </w:pPr>
            <w:r>
              <w:rPr>
                <w:b/>
                <w:bCs/>
              </w:rPr>
              <w:t xml:space="preserve">Configuration Weeks 1–3; live cutover Weeks 4–6 (test environment) per §7.1</w:t>
            </w:r>
          </w:p>
        </w:tc>
        <w:tc>
          <w:tcPr/>
          <w:p>
            <w:pPr>
              <w:pStyle w:val="Compact"/>
              <w:jc w:val="left"/>
            </w:pPr>
            <w:r>
              <w:t xml:space="preserve">County IT joint configuration; 7–21 day configuration window followed by validation in test environment before County-wide cutover</w:t>
            </w:r>
          </w:p>
        </w:tc>
      </w:tr>
      <w:tr>
        <w:tc>
          <w:tcPr/>
          <w:p>
            <w:pPr>
              <w:pStyle w:val="Compact"/>
              <w:jc w:val="left"/>
            </w:pPr>
            <w:r>
              <w:rPr>
                <w:b/>
                <w:bCs/>
              </w:rPr>
              <w:t xml:space="preserve">SSO — Okta, Google Workspace, City/County LDAP</w:t>
            </w:r>
          </w:p>
        </w:tc>
        <w:tc>
          <w:tcPr/>
          <w:p>
            <w:pPr>
              <w:pStyle w:val="Compact"/>
              <w:jc w:val="left"/>
            </w:pPr>
            <w:r>
              <w:t xml:space="preserve">Not in demo</w:t>
            </w:r>
          </w:p>
        </w:tc>
        <w:tc>
          <w:tcPr/>
          <w:p>
            <w:pPr>
              <w:pStyle w:val="Compact"/>
              <w:jc w:val="left"/>
            </w:pPr>
            <w:r>
              <w:rPr>
                <w:b/>
                <w:bCs/>
              </w:rPr>
              <w:t xml:space="preserve">On request during implementation</w:t>
            </w:r>
          </w:p>
        </w:tc>
        <w:tc>
          <w:tcPr/>
          <w:p>
            <w:pPr>
              <w:pStyle w:val="Compact"/>
              <w:jc w:val="left"/>
            </w:pPr>
            <w:r>
              <w:t xml:space="preserve">Same 7–21 day configuration window per IdP</w:t>
            </w:r>
          </w:p>
        </w:tc>
      </w:tr>
      <w:tr>
        <w:tc>
          <w:tcPr/>
          <w:p>
            <w:pPr>
              <w:pStyle w:val="Compact"/>
              <w:jc w:val="left"/>
            </w:pPr>
            <w:r>
              <w:rPr>
                <w:b/>
                <w:bCs/>
              </w:rPr>
              <w:t xml:space="preserve">NPS measurement (day-30 / day-90 / quarterly)</w:t>
            </w:r>
          </w:p>
        </w:tc>
        <w:tc>
          <w:tcPr/>
          <w:p>
            <w:pPr>
              <w:pStyle w:val="Compact"/>
              <w:jc w:val="left"/>
            </w:pPr>
            <w:r>
              <w:t xml:space="preserve">Not in demo</w:t>
            </w:r>
          </w:p>
        </w:tc>
        <w:tc>
          <w:tcPr/>
          <w:p>
            <w:pPr>
              <w:pStyle w:val="Compact"/>
              <w:jc w:val="left"/>
            </w:pPr>
            <w:r>
              <w:rPr>
                <w:b/>
                <w:bCs/>
              </w:rPr>
              <w:t xml:space="preserve">Implementation Week 6</w:t>
            </w:r>
          </w:p>
        </w:tc>
        <w:tc>
          <w:tcPr/>
          <w:p>
            <w:pPr>
              <w:pStyle w:val="Compact"/>
              <w:jc w:val="left"/>
            </w:pPr>
            <w:r>
              <w:t xml:space="preserve">Surveys go live in time for first enrolled cohort to receive day-30 survey before first monthly dashboard</w:t>
            </w:r>
          </w:p>
        </w:tc>
      </w:tr>
      <w:tr>
        <w:tc>
          <w:tcPr/>
          <w:p>
            <w:pPr>
              <w:pStyle w:val="Compact"/>
              <w:jc w:val="left"/>
            </w:pPr>
            <w:r>
              <w:rPr>
                <w:b/>
                <w:bCs/>
              </w:rPr>
              <w:t xml:space="preserve">Spanish-language member interface</w:t>
            </w:r>
          </w:p>
        </w:tc>
        <w:tc>
          <w:tcPr/>
          <w:p>
            <w:pPr>
              <w:pStyle w:val="Compact"/>
              <w:jc w:val="left"/>
            </w:pPr>
            <w:r>
              <w:t xml:space="preserve">Not in demo (English only)</w:t>
            </w:r>
          </w:p>
        </w:tc>
        <w:tc>
          <w:tcPr/>
          <w:p>
            <w:pPr>
              <w:pStyle w:val="Compact"/>
              <w:jc w:val="left"/>
            </w:pPr>
            <w:r>
              <w:rPr>
                <w:b/>
                <w:bCs/>
              </w:rPr>
              <w:t xml:space="preserve">Implementation Week 6</w:t>
            </w:r>
          </w:p>
        </w:tc>
        <w:tc>
          <w:tcPr/>
          <w:p>
            <w:pPr>
              <w:pStyle w:val="Compact"/>
              <w:jc w:val="left"/>
            </w:pPr>
            <w:r>
              <w:t xml:space="preserve">i18n framework + Spanish translation of all member-facing strings; bilingual coach roster</w:t>
            </w:r>
          </w:p>
        </w:tc>
      </w:tr>
      <w:tr>
        <w:tc>
          <w:tcPr/>
          <w:p>
            <w:pPr>
              <w:pStyle w:val="Compact"/>
              <w:jc w:val="left"/>
            </w:pPr>
            <w:r>
              <w:rPr>
                <w:b/>
                <w:bCs/>
              </w:rPr>
              <w:t xml:space="preserve">WCAG 2.1 AA third-party conformance audit</w:t>
            </w:r>
          </w:p>
        </w:tc>
        <w:tc>
          <w:tcPr/>
          <w:p>
            <w:pPr>
              <w:pStyle w:val="Compact"/>
              <w:jc w:val="left"/>
            </w:pPr>
            <w:r>
              <w:t xml:space="preserve">Design conformance in demo</w:t>
            </w:r>
          </w:p>
        </w:tc>
        <w:tc>
          <w:tcPr/>
          <w:p>
            <w:pPr>
              <w:pStyle w:val="Compact"/>
              <w:jc w:val="left"/>
            </w:pPr>
            <w:r>
              <w:rPr>
                <w:b/>
                <w:bCs/>
              </w:rPr>
              <w:t xml:space="preserve">Implementation Weeks 4–8</w:t>
            </w:r>
          </w:p>
        </w:tc>
        <w:tc>
          <w:tcPr/>
          <w:p>
            <w:pPr>
              <w:pStyle w:val="Compact"/>
              <w:jc w:val="left"/>
            </w:pPr>
            <w:r>
              <w:t xml:space="preserve">Independent audit; report delivered to County IT</w:t>
            </w:r>
          </w:p>
        </w:tc>
      </w:tr>
      <w:tr>
        <w:tc>
          <w:tcPr/>
          <w:p>
            <w:pPr>
              <w:pStyle w:val="Compact"/>
              <w:jc w:val="left"/>
            </w:pPr>
            <w:r>
              <w:rPr>
                <w:b/>
                <w:bCs/>
              </w:rPr>
              <w:t xml:space="preserve">UHC eligibility SFTP / API feed (Group #902769)</w:t>
            </w:r>
          </w:p>
        </w:tc>
        <w:tc>
          <w:tcPr/>
          <w:p>
            <w:pPr>
              <w:pStyle w:val="Compact"/>
              <w:jc w:val="left"/>
            </w:pPr>
            <w:r>
              <w:t xml:space="preserve">Not in demo</w:t>
            </w:r>
          </w:p>
        </w:tc>
        <w:tc>
          <w:tcPr/>
          <w:p>
            <w:pPr>
              <w:pStyle w:val="Compact"/>
              <w:jc w:val="left"/>
            </w:pPr>
            <w:r>
              <w:rPr>
                <w:b/>
                <w:bCs/>
              </w:rPr>
              <w:t xml:space="preserve">Implementation Weeks 1–6</w:t>
            </w:r>
          </w:p>
        </w:tc>
        <w:tc>
          <w:tcPr/>
          <w:p>
            <w:pPr>
              <w:pStyle w:val="Compact"/>
              <w:jc w:val="left"/>
            </w:pPr>
            <w:r>
              <w:t xml:space="preserve">30–45 day integration timeline per §6.6; County IT and UHC joint configuration</w:t>
            </w:r>
          </w:p>
        </w:tc>
      </w:tr>
      <w:tr>
        <w:tc>
          <w:tcPr/>
          <w:p>
            <w:pPr>
              <w:pStyle w:val="Compact"/>
              <w:jc w:val="left"/>
            </w:pPr>
            <w:r>
              <w:rPr>
                <w:b/>
                <w:bCs/>
              </w:rPr>
              <w:t xml:space="preserve">OptumRx fill-history weekly feed</w:t>
            </w:r>
          </w:p>
        </w:tc>
        <w:tc>
          <w:tcPr/>
          <w:p>
            <w:pPr>
              <w:pStyle w:val="Compact"/>
              <w:jc w:val="left"/>
            </w:pPr>
            <w:r>
              <w:t xml:space="preserve">Not in demo</w:t>
            </w:r>
          </w:p>
        </w:tc>
        <w:tc>
          <w:tcPr/>
          <w:p>
            <w:pPr>
              <w:pStyle w:val="Compact"/>
              <w:jc w:val="left"/>
            </w:pPr>
            <w:r>
              <w:rPr>
                <w:b/>
                <w:bCs/>
              </w:rPr>
              <w:t xml:space="preserve">Implementation Weeks 1–6</w:t>
            </w:r>
          </w:p>
        </w:tc>
        <w:tc>
          <w:tcPr/>
          <w:p>
            <w:pPr>
              <w:pStyle w:val="Compact"/>
              <w:jc w:val="left"/>
            </w:pPr>
            <w:r>
              <w:t xml:space="preserve">30–45 day integration timeline per §6.6; missed-fill 48-hour coaching outreach goes live with the feed</w:t>
            </w:r>
          </w:p>
        </w:tc>
      </w:tr>
      <w:tr>
        <w:tc>
          <w:tcPr/>
          <w:p>
            <w:pPr>
              <w:pStyle w:val="Compact"/>
              <w:jc w:val="left"/>
            </w:pPr>
            <w:r>
              <w:rPr>
                <w:b/>
                <w:bCs/>
              </w:rPr>
              <w:t xml:space="preserve">Rally SSO hand-off and engagement-data exchange</w:t>
            </w:r>
          </w:p>
        </w:tc>
        <w:tc>
          <w:tcPr/>
          <w:p>
            <w:pPr>
              <w:pStyle w:val="Compact"/>
              <w:jc w:val="left"/>
            </w:pPr>
            <w:r>
              <w:t xml:space="preserve">Not in demo</w:t>
            </w:r>
          </w:p>
        </w:tc>
        <w:tc>
          <w:tcPr/>
          <w:p>
            <w:pPr>
              <w:pStyle w:val="Compact"/>
              <w:jc w:val="left"/>
            </w:pPr>
            <w:r>
              <w:rPr>
                <w:b/>
                <w:bCs/>
              </w:rPr>
              <w:t xml:space="preserve">Implementation Weeks 3–6</w:t>
            </w:r>
          </w:p>
        </w:tc>
        <w:tc>
          <w:tcPr/>
          <w:p>
            <w:pPr>
              <w:pStyle w:val="Compact"/>
              <w:jc w:val="left"/>
            </w:pPr>
            <w:r>
              <w:t xml:space="preserve">Joint configuration with UHC's Rally team</w:t>
            </w:r>
          </w:p>
        </w:tc>
      </w:tr>
      <w:tr>
        <w:tc>
          <w:tcPr/>
          <w:p>
            <w:pPr>
              <w:pStyle w:val="Compact"/>
              <w:jc w:val="left"/>
            </w:pPr>
            <w:r>
              <w:rPr>
                <w:b/>
                <w:bCs/>
              </w:rPr>
              <w:t xml:space="preserve">HRIS roster sync (Workday, ADP)</w:t>
            </w:r>
          </w:p>
        </w:tc>
        <w:tc>
          <w:tcPr/>
          <w:p>
            <w:pPr>
              <w:pStyle w:val="Compact"/>
              <w:jc w:val="left"/>
            </w:pPr>
            <w:r>
              <w:t xml:space="preserve">Not in demo</w:t>
            </w:r>
          </w:p>
        </w:tc>
        <w:tc>
          <w:tcPr/>
          <w:p>
            <w:pPr>
              <w:pStyle w:val="Compact"/>
              <w:jc w:val="left"/>
            </w:pPr>
            <w:r>
              <w:rPr>
                <w:b/>
                <w:bCs/>
              </w:rPr>
              <w:t xml:space="preserve">On request during implementation</w:t>
            </w:r>
          </w:p>
        </w:tc>
        <w:tc>
          <w:tcPr/>
          <w:p>
            <w:pPr>
              <w:pStyle w:val="Compact"/>
              <w:jc w:val="left"/>
            </w:pPr>
            <w:r>
              <w:t xml:space="preserve">Both supported via standard connector; configured per County's actual HRIS</w:t>
            </w:r>
          </w:p>
        </w:tc>
      </w:tr>
      <w:tr>
        <w:tc>
          <w:tcPr/>
          <w:p>
            <w:pPr>
              <w:pStyle w:val="Compact"/>
              <w:jc w:val="left"/>
            </w:pPr>
            <w:r>
              <w:rPr>
                <w:b/>
                <w:bCs/>
              </w:rPr>
              <w:t xml:space="preserve">Power BI / Tableau dashboard embed</w:t>
            </w:r>
          </w:p>
        </w:tc>
        <w:tc>
          <w:tcPr/>
          <w:p>
            <w:pPr>
              <w:pStyle w:val="Compact"/>
              <w:jc w:val="left"/>
            </w:pPr>
            <w:r>
              <w:t xml:space="preserve">Not in demo</w:t>
            </w:r>
          </w:p>
        </w:tc>
        <w:tc>
          <w:tcPr/>
          <w:p>
            <w:pPr>
              <w:pStyle w:val="Compact"/>
              <w:jc w:val="left"/>
            </w:pPr>
            <w:r>
              <w:rPr>
                <w:b/>
                <w:bCs/>
              </w:rPr>
              <w:t xml:space="preserve">On request during implementation</w:t>
            </w:r>
          </w:p>
        </w:tc>
        <w:tc>
          <w:tcPr/>
          <w:p>
            <w:pPr>
              <w:pStyle w:val="Compact"/>
              <w:jc w:val="left"/>
            </w:pPr>
            <w:r>
              <w:t xml:space="preserve">Standard iframe embed token; configured per County's BI tenant</w:t>
            </w:r>
          </w:p>
        </w:tc>
      </w:tr>
    </w:tbl>
    <w:p>
      <w:pPr>
        <w:pStyle w:val="BodyText"/>
      </w:pPr>
      <w:r>
        <w:rPr>
          <w:b/>
          <w:bCs/>
        </w:rPr>
        <w:t xml:space="preserve">Operational service commitments (not platform features — these are what the Prime (Love Clinic &amp; Med Spa, LLC) and the operating team commit to do, beginning at member go-live):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Commitment</w:t>
            </w:r>
          </w:p>
        </w:tc>
        <w:tc>
          <w:tcPr/>
          <w:p>
            <w:pPr>
              <w:pStyle w:val="Compact"/>
              <w:jc w:val="left"/>
            </w:pPr>
            <w:r>
              <w:t xml:space="preserve">Section reference</w:t>
            </w:r>
          </w:p>
        </w:tc>
      </w:tr>
      <w:tr>
        <w:tc>
          <w:tcPr/>
          <w:p>
            <w:pPr>
              <w:pStyle w:val="Compact"/>
              <w:jc w:val="left"/>
            </w:pPr>
            <w:r>
              <w:t xml:space="preserve">1-business-hour secure-message coach response, 48-hour appointment confirmation, same-business-day callback, 1-business-day clinical response, 1-business-day complaint acknowledgment, 5-business-day complaint resolution</w:t>
            </w:r>
          </w:p>
        </w:tc>
        <w:tc>
          <w:tcPr/>
          <w:p>
            <w:pPr>
              <w:pStyle w:val="Compact"/>
              <w:jc w:val="left"/>
            </w:pPr>
            <w:r>
              <w:t xml:space="preserve">§6.7</w:t>
            </w:r>
          </w:p>
        </w:tc>
      </w:tr>
      <w:tr>
        <w:tc>
          <w:tcPr/>
          <w:p>
            <w:pPr>
              <w:pStyle w:val="Compact"/>
              <w:jc w:val="left"/>
            </w:pPr>
            <w:r>
              <w:t xml:space="preserve">Weekly check-in cadence during Phase 3 with coaching response within 24 hours</w:t>
            </w:r>
          </w:p>
        </w:tc>
        <w:tc>
          <w:tcPr/>
          <w:p>
            <w:pPr>
              <w:pStyle w:val="Compact"/>
              <w:jc w:val="left"/>
            </w:pPr>
            <w:r>
              <w:t xml:space="preserve">§3.3</w:t>
            </w:r>
          </w:p>
        </w:tc>
      </w:tr>
      <w:tr>
        <w:tc>
          <w:tcPr/>
          <w:p>
            <w:pPr>
              <w:pStyle w:val="Compact"/>
              <w:jc w:val="left"/>
            </w:pPr>
            <w:r>
              <w:t xml:space="preserve">Quarterly UHC eligibility reconciliation (5-business-day discrepancy resolution)</w:t>
            </w:r>
          </w:p>
        </w:tc>
        <w:tc>
          <w:tcPr/>
          <w:p>
            <w:pPr>
              <w:pStyle w:val="Compact"/>
              <w:jc w:val="left"/>
            </w:pPr>
            <w:r>
              <w:t xml:space="preserve">§9.4</w:t>
            </w:r>
          </w:p>
        </w:tc>
      </w:tr>
      <w:tr>
        <w:tc>
          <w:tcPr/>
          <w:p>
            <w:pPr>
              <w:pStyle w:val="Compact"/>
              <w:jc w:val="left"/>
            </w:pPr>
            <w:r>
              <w:t xml:space="preserve">Consolidated monthly invoicing through the Prime (Love Clinic &amp; Med Spa, LLC), Net 30</w:t>
            </w:r>
          </w:p>
        </w:tc>
        <w:tc>
          <w:tcPr/>
          <w:p>
            <w:pPr>
              <w:pStyle w:val="Compact"/>
              <w:jc w:val="left"/>
            </w:pPr>
            <w:r>
              <w:t xml:space="preserve">§9.4</w:t>
            </w:r>
          </w:p>
        </w:tc>
      </w:tr>
      <w:tr>
        <w:tc>
          <w:tcPr/>
          <w:p>
            <w:pPr>
              <w:pStyle w:val="Compact"/>
              <w:jc w:val="left"/>
            </w:pPr>
            <w:r>
              <w:t xml:space="preserve">7-year billing-record retention</w:t>
            </w:r>
          </w:p>
        </w:tc>
        <w:tc>
          <w:tcPr/>
          <w:p>
            <w:pPr>
              <w:pStyle w:val="Compact"/>
              <w:jc w:val="left"/>
            </w:pPr>
            <w:r>
              <w:t xml:space="preserve">§9.4</w:t>
            </w:r>
          </w:p>
        </w:tc>
      </w:tr>
      <w:tr>
        <w:tc>
          <w:tcPr/>
          <w:p>
            <w:pPr>
              <w:pStyle w:val="Compact"/>
              <w:jc w:val="left"/>
            </w:pPr>
            <w:r>
              <w:t xml:space="preserve">Annual outcomes report to the Board of County Commissioners</w:t>
            </w:r>
          </w:p>
        </w:tc>
        <w:tc>
          <w:tcPr/>
          <w:p>
            <w:pPr>
              <w:pStyle w:val="Compact"/>
              <w:jc w:val="left"/>
            </w:pPr>
            <w:r>
              <w:t xml:space="preserve">§9.2</w:t>
            </w:r>
          </w:p>
        </w:tc>
      </w:tr>
      <w:tr>
        <w:tc>
          <w:tcPr/>
          <w:p>
            <w:pPr>
              <w:pStyle w:val="Compact"/>
              <w:jc w:val="left"/>
            </w:pPr>
            <w:r>
              <w:t xml:space="preserve">BAA execution at contract award</w:t>
            </w:r>
          </w:p>
        </w:tc>
        <w:tc>
          <w:tcPr/>
          <w:p>
            <w:pPr>
              <w:pStyle w:val="Compact"/>
              <w:jc w:val="left"/>
            </w:pPr>
            <w:r>
              <w:t xml:space="preserve">§11.1</w:t>
            </w:r>
          </w:p>
        </w:tc>
      </w:tr>
      <w:tr>
        <w:tc>
          <w:tcPr/>
          <w:p>
            <w:pPr>
              <w:pStyle w:val="Compact"/>
              <w:jc w:val="left"/>
            </w:pPr>
            <w:r>
              <w:t xml:space="preserve">5-business-day conflict-of-interest disclosure</w:t>
            </w:r>
          </w:p>
        </w:tc>
        <w:tc>
          <w:tcPr/>
          <w:p>
            <w:pPr>
              <w:pStyle w:val="Compact"/>
              <w:jc w:val="left"/>
            </w:pPr>
            <w:r>
              <w:t xml:space="preserve">§11.3</w:t>
            </w:r>
          </w:p>
        </w:tc>
      </w:tr>
    </w:tbl>
    <w:p>
      <w:pPr>
        <w:pStyle w:val="BodyText"/>
      </w:pPr>
      <w:r>
        <w:t xml:space="preserve">The County is invited to verify any "Live" capability above directly against the demonstration platform at employeehealth.replit.app, and to request a live walkthrough of any item before the evaluation committee's recommendation.</w:t>
      </w:r>
    </w:p>
    <w:p>
      <w:r>
        <w:pict>
          <v:rect style="width:0;height:1.5pt" o:hralign="center" o:hrstd="t" o:hr="t"/>
        </w:pict>
      </w:r>
    </w:p>
    <w:bookmarkEnd w:id="72"/>
    <w:bookmarkEnd w:id="73"/>
    <w:bookmarkStart w:id="83" w:name="Xb49e15758b152d077e09d5e44eab9446e2e5663"/>
    <w:p>
      <w:pPr>
        <w:pStyle w:val="Heading1"/>
      </w:pPr>
      <w:r>
        <w:t xml:space="preserve">Section 8 — Pricing Model and Return on Investment</w:t>
      </w:r>
    </w:p>
    <w:bookmarkStart w:id="74" w:name="X9012b978cd314a8649c2f142d64a95a76710b4c"/>
    <w:p>
      <w:pPr>
        <w:pStyle w:val="Heading2"/>
      </w:pPr>
      <w:r>
        <w:t xml:space="preserve">8.1 PEPM (per-employee-per-month) pricing structure</w:t>
      </w:r>
    </w:p>
    <w:p>
      <w:pPr>
        <w:pStyle w:val="FirstParagraph"/>
      </w:pPr>
      <w:r>
        <w:t xml:space="preserve">Vitality offers a blended PEPM pricing model that scales with the County's enrolled member count and the actual mix of clinical pathways used. The blended PEPM range is</w:t>
      </w:r>
      <w:r>
        <w:t xml:space="preserve"> </w:t>
      </w:r>
      <m:oMath>
        <m:r>
          <m:t>476</m:t>
        </m:r>
        <m:r>
          <m:rPr>
            <m:sty m:val="p"/>
          </m:rPr>
          <m:t>–</m:t>
        </m:r>
      </m:oMath>
      <w:r>
        <w:rPr>
          <w:b/>
          <w:bCs/>
        </w:rPr>
        <w:t xml:space="preserve">525 per enrolled member per month</w:t>
      </w:r>
      <w:r>
        <w:t xml:space="preserve">, depending on the GLP-1 mix.</w:t>
      </w:r>
    </w:p>
    <w:p>
      <w:pPr>
        <w:pStyle w:val="BodyText"/>
      </w:pPr>
      <w:r>
        <w:t xml:space="preserve">The pricing is constructed bottoms-up from operational cost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$/member/month</w:t>
            </w:r>
          </w:p>
        </w:tc>
      </w:tr>
      <w:tr>
        <w:tc>
          <w:tcPr/>
          <w:p>
            <w:pPr>
              <w:pStyle w:val="Compact"/>
              <w:jc w:val="left"/>
            </w:pPr>
            <w:r>
              <w:t xml:space="preserve">Coaching (Dr. Vann's team + VITA AI)</w:t>
            </w:r>
          </w:p>
        </w:tc>
        <w:tc>
          <w:tcPr/>
          <w:p>
            <w:pPr>
              <w:pStyle w:val="Compact"/>
              <w:jc w:val="left"/>
            </w:pPr>
            <w:r>
              <w:t xml:space="preserve">$55</w:t>
            </w:r>
          </w:p>
        </w:tc>
      </w:tr>
      <w:tr>
        <w:tc>
          <w:tcPr/>
          <w:p>
            <w:pPr>
              <w:pStyle w:val="Compact"/>
              <w:jc w:val="left"/>
            </w:pPr>
            <w:r>
              <w:t xml:space="preserve">Platform &amp; analytics (CAF technology infrastructure)</w:t>
            </w:r>
          </w:p>
        </w:tc>
        <w:tc>
          <w:tcPr/>
          <w:p>
            <w:pPr>
              <w:pStyle w:val="Compact"/>
              <w:jc w:val="left"/>
            </w:pPr>
            <w:r>
              <w:t xml:space="preserve">$45</w:t>
            </w:r>
          </w:p>
        </w:tc>
      </w:tr>
      <w:tr>
        <w:tc>
          <w:tcPr/>
          <w:p>
            <w:pPr>
              <w:pStyle w:val="Compact"/>
              <w:jc w:val="left"/>
            </w:pPr>
            <w:r>
              <w:t xml:space="preserve">Administration, compliance, and BAA management (HIS)</w:t>
            </w:r>
          </w:p>
        </w:tc>
        <w:tc>
          <w:tcPr/>
          <w:p>
            <w:pPr>
              <w:pStyle w:val="Compact"/>
              <w:jc w:val="left"/>
            </w:pPr>
            <w:r>
              <w:t xml:space="preserve">$30</w:t>
            </w:r>
          </w:p>
        </w:tc>
      </w:tr>
      <w:tr>
        <w:tc>
          <w:tcPr/>
          <w:p>
            <w:pPr>
              <w:pStyle w:val="Compact"/>
              <w:jc w:val="left"/>
            </w:pPr>
            <w:r>
              <w:t xml:space="preserve">Clinical oversight (Dr. Love, blended across pathways)</w:t>
            </w:r>
          </w:p>
        </w:tc>
        <w:tc>
          <w:tcPr/>
          <w:p>
            <w:pPr>
              <w:pStyle w:val="Compact"/>
              <w:jc w:val="left"/>
            </w:pPr>
            <w:r>
              <w:t xml:space="preserve">$45 lifestyle / $130 GLP-1 / $75 surgical</w:t>
            </w:r>
          </w:p>
        </w:tc>
      </w:tr>
      <w:tr>
        <w:tc>
          <w:tcPr/>
          <w:p>
            <w:pPr>
              <w:pStyle w:val="Compact"/>
              <w:jc w:val="left"/>
            </w:pPr>
            <w:r>
              <w:t xml:space="preserve">GLP-1 medication (at negotiated specialty rate, when applicable)</w:t>
            </w:r>
          </w:p>
        </w:tc>
        <w:tc>
          <w:tcPr/>
          <w:p>
            <w:pPr>
              <w:pStyle w:val="Compact"/>
              <w:jc w:val="left"/>
            </w:pPr>
            <w:r>
              <w:t xml:space="preserve">$930 for the 20% on the GLP-1 pathway</w:t>
            </w:r>
          </w:p>
        </w:tc>
      </w:tr>
      <w:tr>
        <w:tc>
          <w:tcPr/>
          <w:p>
            <w:pPr>
              <w:pStyle w:val="Compact"/>
              <w:jc w:val="left"/>
            </w:pPr>
            <w:r>
              <w:t xml:space="preserve">Operator margin (20%)</w:t>
            </w:r>
          </w:p>
        </w:tc>
        <w:tc>
          <w:tcPr/>
          <w:p>
            <w:pPr>
              <w:pStyle w:val="Compact"/>
              <w:jc w:val="left"/>
            </w:pPr>
            <w:r>
              <w:t xml:space="preserve">Variable</w:t>
            </w:r>
          </w:p>
        </w:tc>
      </w:tr>
    </w:tbl>
    <w:p>
      <w:pPr>
        <w:pStyle w:val="BodyText"/>
      </w:pPr>
      <w:r>
        <w:t xml:space="preserve">At a representative 20% GLP-1 mix, the blended all-in PEPM is approximately</w:t>
      </w:r>
      <w:r>
        <w:t xml:space="preserve"> </w:t>
      </w:r>
      <m:oMath>
        <m:r>
          <m:t>476</m:t>
        </m:r>
        <m:r>
          <m:rPr>
            <m:sty m:val="p"/>
          </m:rPr>
          <m:t>*</m:t>
        </m:r>
        <m:r>
          <m:rPr>
            <m:sty m:val="p"/>
          </m:rPr>
          <m:t>*</m:t>
        </m:r>
        <m:r>
          <m:rPr>
            <m:sty m:val="p"/>
          </m:rPr>
          <m:t>.</m:t>
        </m:r>
        <m:r>
          <m:t>A</m:t>
        </m:r>
        <m:r>
          <m:t>t</m:t>
        </m:r>
        <m:r>
          <m:t>a</m:t>
        </m:r>
        <m:r>
          <m:t>30</m:t>
        </m:r>
      </m:oMath>
      <w:r>
        <w:rPr>
          <w:b/>
          <w:bCs/>
        </w:rPr>
        <w:t xml:space="preserve">525</w:t>
      </w:r>
      <w:r>
        <w:t xml:space="preserve">.</w:t>
      </w:r>
    </w:p>
    <w:bookmarkEnd w:id="74"/>
    <w:bookmarkStart w:id="75" w:name="X60c82276f122d3be399bf794ce9198fccbeaeab"/>
    <w:p>
      <w:pPr>
        <w:pStyle w:val="Heading2"/>
      </w:pPr>
      <w:r>
        <w:t xml:space="preserve">8.2 Lifestyle pathway baseline cost</w:t>
      </w:r>
    </w:p>
    <w:p>
      <w:pPr>
        <w:pStyle w:val="FirstParagraph"/>
      </w:pPr>
      <w:r>
        <w:t xml:space="preserve">For members on Pathway A (Lifestyle), the all-in annual cost is **</w:t>
      </w:r>
      <m:oMath>
        <m:r>
          <m:t>3</m:t>
        </m:r>
        <m:r>
          <m:rPr>
            <m:sty m:val="p"/>
          </m:rPr>
          <m:t>,</m:t>
        </m:r>
        <m:r>
          <m:t>200</m:t>
        </m:r>
        <m:r>
          <m:t>p</m:t>
        </m:r>
        <m:r>
          <m:t>e</m:t>
        </m:r>
        <m:r>
          <m:t>r</m:t>
        </m:r>
        <m:r>
          <m:t>m</m:t>
        </m:r>
        <m:r>
          <m:t>e</m:t>
        </m:r>
        <m:r>
          <m:t>m</m:t>
        </m:r>
        <m:r>
          <m:t>b</m:t>
        </m:r>
        <m:r>
          <m:t>e</m:t>
        </m:r>
        <m:r>
          <m:t>r</m:t>
        </m:r>
        <m:r>
          <m:t>p</m:t>
        </m:r>
        <m:r>
          <m:t>e</m:t>
        </m:r>
        <m:r>
          <m:t>r</m:t>
        </m:r>
        <m:r>
          <m:t>y</m:t>
        </m:r>
        <m:r>
          <m:t>e</m:t>
        </m:r>
        <m:r>
          <m:t>a</m:t>
        </m:r>
        <m:r>
          <m:t>r</m:t>
        </m:r>
        <m:r>
          <m:rPr>
            <m:sty m:val="p"/>
          </m:rPr>
          <m:t>*</m:t>
        </m:r>
        <m:r>
          <m:rPr>
            <m:sty m:val="p"/>
          </m:rPr>
          <m:t>*</m:t>
        </m:r>
        <m:r>
          <m:rPr>
            <m:sty m:val="p"/>
          </m:rPr>
          <m:t>(</m:t>
        </m:r>
      </m:oMath>
      <w:r>
        <w:t xml:space="preserve">267/month). This includes coaching, platform, administration, and clinical oversight, but excludes medication (none required on this pathway).</w:t>
      </w:r>
    </w:p>
    <w:bookmarkEnd w:id="75"/>
    <w:bookmarkStart w:id="76" w:name="X06c4fdb1669d5e138b7cdd89cfbef1ef57abf00"/>
    <w:p>
      <w:pPr>
        <w:pStyle w:val="Heading2"/>
      </w:pPr>
      <w:r>
        <w:t xml:space="preserve">8.3 Year-1 program cost at target enrollment</w:t>
      </w:r>
    </w:p>
    <w:p>
      <w:pPr>
        <w:pStyle w:val="FirstParagraph"/>
      </w:pPr>
      <w:r>
        <w:t xml:space="preserve">At our target enrollment of</w:t>
      </w:r>
      <w:r>
        <w:t xml:space="preserve"> </w:t>
      </w:r>
      <w:r>
        <w:rPr>
          <w:b/>
          <w:bCs/>
        </w:rPr>
        <w:t xml:space="preserve">534 members</w:t>
      </w:r>
      <w:r>
        <w:t xml:space="preserve"> </w:t>
      </w:r>
      <w:r>
        <w:t xml:space="preserve">(35% of the 1,525 modeled at-risk adult population), the Year-1 program cost at the lifestyle baseline is</w:t>
      </w:r>
      <w:r>
        <w:t xml:space="preserve"> </w:t>
      </w:r>
      <w:r>
        <w:rPr>
          <w:b/>
          <w:bCs/>
        </w:rPr>
        <w:t xml:space="preserve">$1,708,800</w:t>
      </w:r>
      <w:r>
        <w:t xml:space="preserve">.</w:t>
      </w:r>
    </w:p>
    <w:p>
      <w:pPr>
        <w:pStyle w:val="BodyText"/>
      </w:pPr>
      <w:r>
        <w:t xml:space="preserve">This figure is conservative — it assumes all enrollees are on the lifestyle pathway. At the realistic ~20% GLP-1 mix, the actual Year-1 cost is approximately</w:t>
      </w:r>
      <w:r>
        <w:t xml:space="preserve"> </w:t>
      </w:r>
      <m:oMath>
        <m:r>
          <m:t>2.55</m:t>
        </m:r>
        <m:r>
          <m:t>M</m:t>
        </m:r>
        <m:r>
          <m:rPr>
            <m:sty m:val="p"/>
          </m:rPr>
          <m:t>–</m:t>
        </m:r>
      </m:oMath>
      <w:r>
        <w:rPr>
          <w:b/>
          <w:bCs/>
        </w:rPr>
        <w:t xml:space="preserve">2.80M</w:t>
      </w:r>
      <w:r>
        <w:t xml:space="preserve"> </w:t>
      </w:r>
      <w:r>
        <w:t xml:space="preserve">(the higher figure reflects the GLP-1 medication cost that is otherwise being absorbed by the pharmacy plan today).</w:t>
      </w:r>
    </w:p>
    <w:bookmarkEnd w:id="76"/>
    <w:bookmarkStart w:id="81" w:name="X4c3e8c84ccda403100927c23767efd96d0975f0"/>
    <w:p>
      <w:pPr>
        <w:pStyle w:val="Heading2"/>
      </w:pPr>
      <w:r>
        <w:t xml:space="preserve">8.4 Return on Investment — the headline economic case</w:t>
      </w:r>
    </w:p>
    <w:bookmarkStart w:id="77" w:name="X7c9729159aa4887a47d7913152d23b2949db8ea"/>
    <w:p>
      <w:pPr>
        <w:pStyle w:val="Heading3"/>
      </w:pPr>
      <w:r>
        <w:t xml:space="preserve">8.4.1 The GLP-1 capture</w:t>
      </w:r>
    </w:p>
    <w:p>
      <w:pPr>
        <w:pStyle w:val="FirstParagraph"/>
      </w:pPr>
      <w:r>
        <w:t xml:space="preserve">The single largest ROI driver is the migration of the County's existing 373 GLP-1 members from unmanaged to managed therapy.</w:t>
      </w:r>
    </w:p>
    <w:p>
      <w:pPr>
        <w:pStyle w:val="Compact"/>
        <w:numPr>
          <w:ilvl w:val="0"/>
          <w:numId w:val="1032"/>
        </w:numPr>
      </w:pPr>
      <w:r>
        <w:t xml:space="preserve">Current spend: 373 ×</w:t>
      </w:r>
      <w:r>
        <w:t xml:space="preserve"> </w:t>
      </w:r>
      <m:oMath>
        <m:r>
          <m:t>13</m:t>
        </m:r>
        <m:r>
          <m:rPr>
            <m:sty m:val="p"/>
          </m:rPr>
          <m:t>,</m:t>
        </m:r>
        <m:r>
          <m:t>800</m:t>
        </m:r>
        <m:r>
          <m:rPr>
            <m:sty m:val="p"/>
          </m:rPr>
          <m:t>=</m:t>
        </m:r>
        <m:r>
          <m:rPr>
            <m:sty m:val="p"/>
          </m:rPr>
          <m:t>*</m:t>
        </m:r>
        <m:r>
          <m:rPr>
            <m:sty m:val="p"/>
          </m:rPr>
          <m:t>*</m:t>
        </m:r>
      </m:oMath>
      <w:r>
        <w:t xml:space="preserve">5,147,400 per year** (RAND 2023 unmanaged figure)</w:t>
      </w:r>
    </w:p>
    <w:p>
      <w:pPr>
        <w:pStyle w:val="Compact"/>
        <w:numPr>
          <w:ilvl w:val="0"/>
          <w:numId w:val="1032"/>
        </w:numPr>
      </w:pPr>
      <w:r>
        <w:t xml:space="preserve">Managed spend: 373 ×</w:t>
      </w:r>
      <w:r>
        <w:t xml:space="preserve"> </w:t>
      </w:r>
      <m:oMath>
        <m:r>
          <m:t>8</m:t>
        </m:r>
        <m:r>
          <m:rPr>
            <m:sty m:val="p"/>
          </m:rPr>
          <m:t>,</m:t>
        </m:r>
        <m:r>
          <m:t>200</m:t>
        </m:r>
        <m:r>
          <m:rPr>
            <m:sty m:val="p"/>
          </m:rPr>
          <m:t>=</m:t>
        </m:r>
        <m:r>
          <m:rPr>
            <m:sty m:val="p"/>
          </m:rPr>
          <m:t>*</m:t>
        </m:r>
        <m:r>
          <m:rPr>
            <m:sty m:val="p"/>
          </m:rPr>
          <m:t>*</m:t>
        </m:r>
      </m:oMath>
      <w:r>
        <w:t xml:space="preserve">3,058,600 per year** (RAND 2023 managed figure)</w:t>
      </w:r>
    </w:p>
    <w:p>
      <w:pPr>
        <w:pStyle w:val="Compact"/>
        <w:numPr>
          <w:ilvl w:val="0"/>
          <w:numId w:val="1032"/>
        </w:numPr>
      </w:pPr>
      <w:r>
        <w:rPr>
          <w:b/>
          <w:bCs/>
        </w:rPr>
        <w:t xml:space="preserve">Modeled Year-1 capture opportunity: $2,088,800</w:t>
      </w:r>
    </w:p>
    <w:p>
      <w:pPr>
        <w:pStyle w:val="FirstParagraph"/>
      </w:pPr>
      <w:r>
        <w:t xml:space="preserve">This is not a hypothetical population; it is the County's actual current cohort, disclosed in Addendum #2.</w:t>
      </w:r>
    </w:p>
    <w:bookmarkEnd w:id="77"/>
    <w:bookmarkStart w:id="78" w:name="X7b4dbc4c65ded5ef3c586de7bfac41a391946ea"/>
    <w:p>
      <w:pPr>
        <w:pStyle w:val="Heading3"/>
      </w:pPr>
      <w:r>
        <w:t xml:space="preserve">8.4.2 Lifestyle and clinical savings</w:t>
      </w:r>
    </w:p>
    <w:p>
      <w:pPr>
        <w:pStyle w:val="FirstParagraph"/>
      </w:pPr>
      <w:r>
        <w:t xml:space="preserve">Modeling the broader at-risk population at 35% enrollment (534 members), 68% clinical threshold achievement (NIH/DPP), and per-success savings of</w:t>
      </w:r>
      <w:r>
        <w:t xml:space="preserve"> </w:t>
      </w:r>
      <m:oMath>
        <m:r>
          <m:t>2</m:t>
        </m:r>
        <m:r>
          <m:rPr>
            <m:sty m:val="p"/>
          </m:rPr>
          <m:t>,</m:t>
        </m:r>
        <m:r>
          <m:t>639</m:t>
        </m:r>
        <m:r>
          <m:rPr>
            <m:sty m:val="p"/>
          </m:rPr>
          <m:t>(</m:t>
        </m:r>
      </m:oMath>
      <w:r>
        <w:t xml:space="preserve">1,861 medical from CDC/CMS 2023 + $778 productivity from RAND, 2.73 days × $285/day):</w:t>
      </w:r>
    </w:p>
    <w:p>
      <w:pPr>
        <w:pStyle w:val="Compact"/>
        <w:numPr>
          <w:ilvl w:val="0"/>
          <w:numId w:val="1033"/>
        </w:numPr>
      </w:pPr>
      <w:r>
        <w:t xml:space="preserve">Successful members: 534 × 68% = 363</w:t>
      </w:r>
    </w:p>
    <w:p>
      <w:pPr>
        <w:pStyle w:val="Compact"/>
        <w:numPr>
          <w:ilvl w:val="0"/>
          <w:numId w:val="1033"/>
        </w:numPr>
      </w:pPr>
      <w:r>
        <w:t xml:space="preserve">Annual medical savings: 363 ×</w:t>
      </w:r>
      <w:r>
        <w:t xml:space="preserve"> </w:t>
      </w:r>
      <m:oMath>
        <m:r>
          <m:t>1</m:t>
        </m:r>
        <m:r>
          <m:rPr>
            <m:sty m:val="p"/>
          </m:rPr>
          <m:t>,</m:t>
        </m:r>
        <m:r>
          <m:t>861</m:t>
        </m:r>
        <m:r>
          <m:rPr>
            <m:sty m:val="p"/>
          </m:rPr>
          <m:t>=</m:t>
        </m:r>
        <m:r>
          <m:rPr>
            <m:sty m:val="p"/>
          </m:rPr>
          <m:t>*</m:t>
        </m:r>
        <m:r>
          <m:rPr>
            <m:sty m:val="p"/>
          </m:rPr>
          <m:t>*</m:t>
        </m:r>
      </m:oMath>
      <w:r>
        <w:t xml:space="preserve">675,543**</w:t>
      </w:r>
    </w:p>
    <w:p>
      <w:pPr>
        <w:pStyle w:val="Compact"/>
        <w:numPr>
          <w:ilvl w:val="0"/>
          <w:numId w:val="1033"/>
        </w:numPr>
      </w:pPr>
      <w:r>
        <w:t xml:space="preserve">Annual productivity savings: 363 ×</w:t>
      </w:r>
      <w:r>
        <w:t xml:space="preserve"> </w:t>
      </w:r>
      <m:oMath>
        <m:r>
          <m:t>778</m:t>
        </m:r>
        <m:r>
          <m:rPr>
            <m:sty m:val="p"/>
          </m:rPr>
          <m:t>=</m:t>
        </m:r>
        <m:r>
          <m:rPr>
            <m:sty m:val="p"/>
          </m:rPr>
          <m:t>*</m:t>
        </m:r>
        <m:r>
          <m:rPr>
            <m:sty m:val="p"/>
          </m:rPr>
          <m:t>*</m:t>
        </m:r>
      </m:oMath>
      <w:r>
        <w:t xml:space="preserve">282,414**</w:t>
      </w:r>
    </w:p>
    <w:p>
      <w:pPr>
        <w:pStyle w:val="Compact"/>
        <w:numPr>
          <w:ilvl w:val="0"/>
          <w:numId w:val="1033"/>
        </w:numPr>
      </w:pPr>
      <w:r>
        <w:rPr>
          <w:b/>
          <w:bCs/>
        </w:rPr>
        <w:t xml:space="preserve">Subtotal: $957,957 per year</w:t>
      </w:r>
    </w:p>
    <w:bookmarkEnd w:id="78"/>
    <w:bookmarkStart w:id="79" w:name="X217c37ab9289b5a32c5da0fa81839ba0e544e8d"/>
    <w:p>
      <w:pPr>
        <w:pStyle w:val="Heading3"/>
      </w:pPr>
      <w:r>
        <w:t xml:space="preserve">8.4.3 Total Year-1 economic opportunity</w:t>
      </w:r>
    </w:p>
    <w:p>
      <w:pPr>
        <w:pStyle w:val="Compact"/>
        <w:numPr>
          <w:ilvl w:val="0"/>
          <w:numId w:val="1034"/>
        </w:numPr>
      </w:pPr>
      <w:r>
        <w:t xml:space="preserve">GLP-1 capture: $2,088,800</w:t>
      </w:r>
    </w:p>
    <w:p>
      <w:pPr>
        <w:pStyle w:val="Compact"/>
        <w:numPr>
          <w:ilvl w:val="0"/>
          <w:numId w:val="1034"/>
        </w:numPr>
      </w:pPr>
      <w:r>
        <w:t xml:space="preserve">Lifestyle + clinical: $957,957</w:t>
      </w:r>
    </w:p>
    <w:p>
      <w:pPr>
        <w:pStyle w:val="Compact"/>
        <w:numPr>
          <w:ilvl w:val="0"/>
          <w:numId w:val="1034"/>
        </w:numPr>
      </w:pPr>
      <w:r>
        <w:rPr>
          <w:b/>
          <w:bCs/>
        </w:rPr>
        <w:t xml:space="preserve">Total: $3,046,757 per year</w:t>
      </w:r>
    </w:p>
    <w:p>
      <w:pPr>
        <w:pStyle w:val="FirstParagraph"/>
      </w:pPr>
      <w:r>
        <w:t xml:space="preserve">Against a Year-1 program cost of</w:t>
      </w:r>
      <w:r>
        <w:t xml:space="preserve"> </w:t>
      </w:r>
      <m:oMath>
        <m:r>
          <m:t>1</m:t>
        </m:r>
        <m:r>
          <m:rPr>
            <m:sty m:val="p"/>
          </m:rPr>
          <m:t>,</m:t>
        </m:r>
        <m:r>
          <m:t>708</m:t>
        </m:r>
        <m:r>
          <m:rPr>
            <m:sty m:val="p"/>
          </m:rPr>
          <m:t>,</m:t>
        </m:r>
        <m:r>
          <m:t>800</m:t>
        </m:r>
        <m:d>
          <m:dPr>
            <m:begChr m:val="("/>
            <m:endChr m:val=")"/>
            <m:sepChr m:val=""/>
            <m:grow/>
          </m:dPr>
          <m:e>
            <m:r>
              <m:t>l</m:t>
            </m:r>
            <m:r>
              <m:t>i</m:t>
            </m:r>
            <m:r>
              <m:t>f</m:t>
            </m:r>
            <m:r>
              <m:t>e</m:t>
            </m:r>
            <m:r>
              <m:t>s</m:t>
            </m:r>
            <m:r>
              <m:t>t</m:t>
            </m:r>
            <m:r>
              <m:t>y</m:t>
            </m:r>
            <m:r>
              <m:t>l</m:t>
            </m:r>
            <m:r>
              <m:t>e</m:t>
            </m:r>
            <m:r>
              <m:t>b</m:t>
            </m:r>
            <m:r>
              <m:t>a</m:t>
            </m:r>
            <m:r>
              <m:t>s</m:t>
            </m:r>
            <m:r>
              <m:t>e</m:t>
            </m:r>
            <m:r>
              <m:t>l</m:t>
            </m:r>
            <m:r>
              <m:t>i</m:t>
            </m:r>
            <m:r>
              <m:t>n</m:t>
            </m:r>
            <m:r>
              <m:t>e</m:t>
            </m:r>
          </m:e>
        </m:d>
        <m:r>
          <m:t>o</m:t>
        </m:r>
        <m:r>
          <m:t>r</m:t>
        </m:r>
        <m:r>
          <m:t>u</m:t>
        </m:r>
        <m:r>
          <m:t>p</m:t>
        </m:r>
        <m:r>
          <m:t>t</m:t>
        </m:r>
        <m:r>
          <m:t>o</m:t>
        </m:r>
        <m:r>
          <m:t> </m:t>
        </m:r>
      </m:oMath>
      <w:r>
        <w:t xml:space="preserve">2.80M (with realistic GLP-1 mix), the County's net Year-1 benefit is</w:t>
      </w:r>
      <w:r>
        <w:t xml:space="preserve"> </w:t>
      </w:r>
      <m:oMath>
        <m:r>
          <m:t>240</m:t>
        </m:r>
        <m:r>
          <m:t>K</m:t>
        </m:r>
        <m:r>
          <m:rPr>
            <m:sty m:val="p"/>
          </m:rPr>
          <m:t>–</m:t>
        </m:r>
      </m:oMath>
      <w:r>
        <w:rPr>
          <w:b/>
          <w:bCs/>
        </w:rPr>
        <w:t xml:space="preserve">1.34M</w:t>
      </w:r>
      <w:r>
        <w:t xml:space="preserve"> </w:t>
      </w:r>
      <w:r>
        <w:t xml:space="preserve">in Year 1, and grows through Years 2–5 with graduate-savings carryover.</w:t>
      </w:r>
    </w:p>
    <w:bookmarkEnd w:id="79"/>
    <w:bookmarkStart w:id="80" w:name="X28fb049a3ea0212858e9b99d2b05d3b05e50357"/>
    <w:p>
      <w:pPr>
        <w:pStyle w:val="Heading3"/>
      </w:pPr>
      <w:r>
        <w:t xml:space="preserve">8.4.4 Multi-year ROI projection</w:t>
      </w:r>
    </w:p>
    <w:p>
      <w:pPr>
        <w:pStyle w:val="FirstParagraph"/>
      </w:pPr>
      <w:r>
        <w:t xml:space="preserve">Using a conservative graduate-savings carryover model (85% YoY retention of savings from members who hit clinical threshold, capped at a 3-year carry tail per DPP follow-up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Cumulative ROI ratio</w:t>
            </w:r>
          </w:p>
        </w:tc>
      </w:tr>
      <w:tr>
        <w:tc>
          <w:tcPr/>
          <w:p>
            <w:pPr>
              <w:pStyle w:val="Compact"/>
              <w:jc w:val="left"/>
            </w:pPr>
            <w:r>
              <w:t xml:space="preserve">Year 1</w:t>
            </w:r>
          </w:p>
        </w:tc>
        <w:tc>
          <w:tcPr/>
          <w:p>
            <w:pPr>
              <w:pStyle w:val="Compact"/>
              <w:jc w:val="left"/>
            </w:pPr>
            <w:r>
              <w:t xml:space="preserve">0.56x</w:t>
            </w:r>
          </w:p>
        </w:tc>
      </w:tr>
      <w:tr>
        <w:tc>
          <w:tcPr/>
          <w:p>
            <w:pPr>
              <w:pStyle w:val="Compact"/>
              <w:jc w:val="left"/>
            </w:pPr>
            <w:r>
              <w:t xml:space="preserve">Year 3</w:t>
            </w:r>
          </w:p>
        </w:tc>
        <w:tc>
          <w:tcPr/>
          <w:p>
            <w:pPr>
              <w:pStyle w:val="Compact"/>
              <w:jc w:val="left"/>
            </w:pPr>
            <w:r>
              <w:t xml:space="preserve">1.01x (break-even)</w:t>
            </w:r>
          </w:p>
        </w:tc>
      </w:tr>
      <w:tr>
        <w:tc>
          <w:tcPr/>
          <w:p>
            <w:pPr>
              <w:pStyle w:val="Compact"/>
              <w:jc w:val="left"/>
            </w:pPr>
            <w:r>
              <w:t xml:space="preserve">Year 5</w:t>
            </w:r>
          </w:p>
        </w:tc>
        <w:tc>
          <w:tcPr/>
          <w:p>
            <w:pPr>
              <w:pStyle w:val="Compact"/>
              <w:jc w:val="left"/>
            </w:pPr>
            <w:r>
              <w:t xml:space="preserve">1.32x</w:t>
            </w:r>
          </w:p>
        </w:tc>
      </w:tr>
    </w:tbl>
    <w:p>
      <w:pPr>
        <w:pStyle w:val="BodyText"/>
      </w:pPr>
      <w:r>
        <w:t xml:space="preserve">The headline industry benchmark (Harvard meta-analysis 2010: $3.27 return per $1 invested in workplace wellness) is the upper bound — we deliberately under-promise relative to that benchmark.</w:t>
      </w:r>
    </w:p>
    <w:bookmarkEnd w:id="80"/>
    <w:bookmarkEnd w:id="81"/>
    <w:bookmarkStart w:id="82" w:name="Xda54ddc7ba097070b815c763663816e60afe6bb"/>
    <w:p>
      <w:pPr>
        <w:pStyle w:val="Heading2"/>
      </w:pPr>
      <w:r>
        <w:t xml:space="preserve">8.5 Base price and optional at-risk performance overlay (separated for Criterion V scoring)</w:t>
      </w:r>
    </w:p>
    <w:p>
      <w:pPr>
        <w:pStyle w:val="FirstParagraph"/>
      </w:pPr>
      <w:r>
        <w:rPr>
          <w:b/>
          <w:bCs/>
        </w:rPr>
        <w:t xml:space="preserve">The scored base price for Criterion V is the blended PEPM in Section 8.1:</w:t>
      </w:r>
      <w:r>
        <w:rPr>
          <w:b/>
          <w:bCs/>
        </w:rPr>
        <w:t xml:space="preserve"> </w:t>
      </w:r>
      <m:oMath>
        <m:r>
          <m:t>476</m:t>
        </m:r>
        <m:r>
          <m:rPr>
            <m:sty m:val="p"/>
          </m:rPr>
          <m:t>–</m:t>
        </m:r>
      </m:oMath>
      <w:r>
        <w:rPr>
          <w:b/>
          <w:bCs/>
        </w:rPr>
        <w:t xml:space="preserve">525 per enrolled member per month, depending on GLP-1 mix (lifestyle baseline $267 PEPM).</w:t>
      </w:r>
      <w:r>
        <w:t xml:space="preserve"> </w:t>
      </w:r>
      <w:r>
        <w:t xml:space="preserve">That figure is the number reflected on the Response Form (Appendix F) and is the figure the County's cost-evaluation formula will compare against other bidders' base pricing.</w:t>
      </w:r>
    </w:p>
    <w:p>
      <w:pPr>
        <w:pStyle w:val="BodyText"/>
      </w:pPr>
      <w:r>
        <w:rPr>
          <w:b/>
          <w:bCs/>
        </w:rPr>
        <w:t xml:space="preserve">The at-risk performance overlay described below is a separate, optional contract structure offered above and beyond the base price. It is not part of the base PEPM and does not change the price the County is asked to score under Criterion V.</w:t>
      </w:r>
      <w:r>
        <w:t xml:space="preserve"> </w:t>
      </w:r>
      <w:r>
        <w:t xml:space="preserve">The County may elect, decline, or modify this overlay at contract negotiation; the base price stands regardless. We separate it deliberately so a competitor with a lower headline number cannot leverage our at-risk commitment against us on cost scoring.</w:t>
      </w:r>
    </w:p>
    <w:p>
      <w:pPr>
        <w:pStyle w:val="BodyText"/>
      </w:pPr>
      <w:r>
        <w:rPr>
          <w:b/>
          <w:bCs/>
        </w:rPr>
        <w:t xml:space="preserve">Optional at-risk performance overlay (offered above base price, negotiable at contract):</w:t>
      </w:r>
    </w:p>
    <w:p>
      <w:pPr>
        <w:numPr>
          <w:ilvl w:val="0"/>
          <w:numId w:val="1035"/>
        </w:numPr>
      </w:pPr>
      <w:r>
        <w:rPr>
          <w:b/>
          <w:bCs/>
        </w:rPr>
        <w:t xml:space="preserve">15% of total billed PEPM held at risk</w:t>
      </w:r>
      <w:r>
        <w:t xml:space="preserve"> </w:t>
      </w:r>
      <w:r>
        <w:t xml:space="preserve">in a quarterly performance withhold under a separate at-risk addendum to the contract. Released on attainment of all three County-named KPIs:</w:t>
      </w:r>
    </w:p>
    <w:p>
      <w:pPr>
        <w:pStyle w:val="Compact"/>
        <w:numPr>
          <w:ilvl w:val="1"/>
          <w:numId w:val="1036"/>
        </w:numPr>
      </w:pPr>
      <w:r>
        <w:rPr>
          <w:b/>
          <w:bCs/>
        </w:rPr>
        <w:t xml:space="preserve">Engagement threshold:</w:t>
      </w:r>
      <w:r>
        <w:t xml:space="preserve"> </w:t>
      </w:r>
      <w:r>
        <w:t xml:space="preserve">≥75% of enrolled members maintain weekly check-in activity at the end of each quarter</w:t>
      </w:r>
    </w:p>
    <w:p>
      <w:pPr>
        <w:pStyle w:val="Compact"/>
        <w:numPr>
          <w:ilvl w:val="1"/>
          <w:numId w:val="1036"/>
        </w:numPr>
      </w:pPr>
      <w:r>
        <w:rPr>
          <w:b/>
          <w:bCs/>
        </w:rPr>
        <w:t xml:space="preserve">GLP-1 utilization threshold:</w:t>
      </w:r>
      <w:r>
        <w:t xml:space="preserve"> </w:t>
      </w:r>
      <w:r>
        <w:rPr>
          <w:b/>
          <w:bCs/>
        </w:rPr>
        <w:t xml:space="preserve">≥30% of the County's current 373-member GLP-1 cohort retained in active Vitality managed protocol at month 12</w:t>
      </w:r>
      <w:r>
        <w:t xml:space="preserve"> </w:t>
      </w:r>
      <w:r>
        <w:t xml:space="preserve">(conservative against the 55–70% published managed-GLP-1 retention range)</w:t>
      </w:r>
    </w:p>
    <w:p>
      <w:pPr>
        <w:pStyle w:val="Compact"/>
        <w:numPr>
          <w:ilvl w:val="1"/>
          <w:numId w:val="1036"/>
        </w:numPr>
      </w:pPr>
      <w:r>
        <w:rPr>
          <w:b/>
          <w:bCs/>
        </w:rPr>
        <w:t xml:space="preserve">Cost savings threshold:</w:t>
      </w:r>
      <w:r>
        <w:t xml:space="preserve"> </w:t>
      </w:r>
      <w:r>
        <w:t xml:space="preserve">Year-1 medical-cost trend for the enrolled cohort outperforms a matched no-program baseline (carrier-validated by UHC at Year 1 reconciliation)</w:t>
      </w:r>
    </w:p>
    <w:p>
      <w:pPr>
        <w:numPr>
          <w:ilvl w:val="0"/>
          <w:numId w:val="1035"/>
        </w:numPr>
      </w:pPr>
      <w:r>
        <w:rPr>
          <w:b/>
          <w:bCs/>
        </w:rPr>
        <w:t xml:space="preserve">Performance bonus (above base PEPM) for outperformance:</w:t>
      </w:r>
      <w:r>
        <w:t xml:space="preserve"> </w:t>
      </w:r>
      <w:r>
        <w:t xml:space="preserve">if Vitality retains ≥50% of the 373-cohort in managed protocol at month 12 (representing ~$2.50M+ in captured spend differential), the County pays an outperformance bonus of 5% of base PEPM.</w:t>
      </w:r>
    </w:p>
    <w:p>
      <w:pPr>
        <w:numPr>
          <w:ilvl w:val="0"/>
          <w:numId w:val="1035"/>
        </w:numPr>
      </w:pPr>
      <w:r>
        <w:rPr>
          <w:b/>
          <w:bCs/>
        </w:rPr>
        <w:t xml:space="preserve">Failure-to-perform clause:</w:t>
      </w:r>
      <w:r>
        <w:t xml:space="preserve"> </w:t>
      </w:r>
      <w:r>
        <w:t xml:space="preserve">if Vitality misses any one threshold by more than 25% of target in two consecutive quarters, the County may terminate without cause and the 15% withhold is permanently forfeited.</w:t>
      </w:r>
    </w:p>
    <w:p>
      <w:pPr>
        <w:pStyle w:val="FirstParagraph"/>
      </w:pPr>
      <w:r>
        <w:t xml:space="preserve">This overlay converts the $2.09M modeled capture opportunity into a contractual commitment, aligns vendor incentives with the County's three named KPIs, and protects the County's downside — without altering the base price scored under Criterion V. The specific percentages, thresholds, and reconciliation methodology are negotiable at contract.</w:t>
      </w:r>
    </w:p>
    <w:p>
      <w:r>
        <w:pict>
          <v:rect style="width:0;height:1.5pt" o:hralign="center" o:hrstd="t" o:hr="t"/>
        </w:pict>
      </w:r>
    </w:p>
    <w:bookmarkEnd w:id="82"/>
    <w:bookmarkEnd w:id="83"/>
    <w:bookmarkStart w:id="89" w:name="X601665c8e0017184394feb513cd0e77ff9f03da"/>
    <w:p>
      <w:pPr>
        <w:pStyle w:val="Heading1"/>
      </w:pPr>
      <w:r>
        <w:t xml:space="preserve">Section 9 — Administrative Services: Reporting, Billing, and Claims Coordination</w:t>
      </w:r>
    </w:p>
    <w:p>
      <w:pPr>
        <w:pStyle w:val="FirstParagraph"/>
      </w:pPr>
      <w:r>
        <w:rPr>
          <w:i/>
          <w:iCs/>
        </w:rPr>
        <w:t xml:space="preserve">In response to Criterion IV's requirement that the program demonstrate Administrative Services, including Claims Processing, Reporting, Billing, and related administrative capabilities.</w:t>
      </w:r>
    </w:p>
    <w:bookmarkStart w:id="84" w:name="X954071629e62e8f3242cfc198615b4feba75606"/>
    <w:p>
      <w:pPr>
        <w:pStyle w:val="Heading2"/>
      </w:pPr>
      <w:r>
        <w:t xml:space="preserve">9.1 KPI alignment with County priorities — the three KPIs named in Addendum #2</w:t>
      </w:r>
    </w:p>
    <w:p>
      <w:pPr>
        <w:pStyle w:val="FirstParagraph"/>
      </w:pPr>
      <w:r>
        <w:t xml:space="preserve">Vitality's reporting framework is structured around the three KPIs the County named in Addendum #2, in this order:</w:t>
      </w:r>
    </w:p>
    <w:p>
      <w:pPr>
        <w:pStyle w:val="BodyText"/>
      </w:pPr>
      <w:r>
        <w:rPr>
          <w:b/>
          <w:bCs/>
        </w:rPr>
        <w:t xml:space="preserve">KPI 1 — Continued member engagement</w:t>
      </w:r>
    </w:p>
    <w:p>
      <w:pPr>
        <w:pStyle w:val="Compact"/>
        <w:numPr>
          <w:ilvl w:val="0"/>
          <w:numId w:val="1037"/>
        </w:numPr>
      </w:pPr>
      <w:r>
        <w:t xml:space="preserve">30/60/90-day active rate</w:t>
      </w:r>
    </w:p>
    <w:p>
      <w:pPr>
        <w:pStyle w:val="Compact"/>
        <w:numPr>
          <w:ilvl w:val="0"/>
          <w:numId w:val="1037"/>
        </w:numPr>
      </w:pPr>
      <w:r>
        <w:t xml:space="preserve">Weekly check-in completion rate</w:t>
      </w:r>
    </w:p>
    <w:p>
      <w:pPr>
        <w:pStyle w:val="Compact"/>
        <w:numPr>
          <w:ilvl w:val="0"/>
          <w:numId w:val="1037"/>
        </w:numPr>
      </w:pPr>
      <w:r>
        <w:t xml:space="preserve">Coaching touchpoint volume per member per month</w:t>
      </w:r>
    </w:p>
    <w:p>
      <w:pPr>
        <w:pStyle w:val="Compact"/>
        <w:numPr>
          <w:ilvl w:val="0"/>
          <w:numId w:val="1037"/>
        </w:numPr>
      </w:pPr>
      <w:r>
        <w:t xml:space="preserve">Time-to-disengagement (days from last activity)</w:t>
      </w:r>
    </w:p>
    <w:p>
      <w:pPr>
        <w:pStyle w:val="Compact"/>
        <w:numPr>
          <w:ilvl w:val="0"/>
          <w:numId w:val="1037"/>
        </w:numPr>
      </w:pPr>
      <w:r>
        <w:t xml:space="preserve">Cohort retention curves</w:t>
      </w:r>
    </w:p>
    <w:p>
      <w:pPr>
        <w:pStyle w:val="FirstParagraph"/>
      </w:pPr>
      <w:r>
        <w:rPr>
          <w:b/>
          <w:bCs/>
        </w:rPr>
        <w:t xml:space="preserve">KPI 2 — Proper use of GLP-1 medications</w:t>
      </w:r>
    </w:p>
    <w:p>
      <w:pPr>
        <w:pStyle w:val="Compact"/>
        <w:numPr>
          <w:ilvl w:val="0"/>
          <w:numId w:val="1038"/>
        </w:numPr>
      </w:pPr>
      <w:r>
        <w:t xml:space="preserve">Twelve-month adherence rate on GLP-1 pathway</w:t>
      </w:r>
    </w:p>
    <w:p>
      <w:pPr>
        <w:pStyle w:val="Compact"/>
        <w:numPr>
          <w:ilvl w:val="0"/>
          <w:numId w:val="1038"/>
        </w:numPr>
      </w:pPr>
      <w:r>
        <w:t xml:space="preserve">Titration completion rate</w:t>
      </w:r>
    </w:p>
    <w:p>
      <w:pPr>
        <w:pStyle w:val="Compact"/>
        <w:numPr>
          <w:ilvl w:val="0"/>
          <w:numId w:val="1038"/>
        </w:numPr>
      </w:pPr>
      <w:r>
        <w:t xml:space="preserve">Side-effect-driven discontinuation rate (vs. unmanaged baseline)</w:t>
      </w:r>
    </w:p>
    <w:p>
      <w:pPr>
        <w:pStyle w:val="Compact"/>
        <w:numPr>
          <w:ilvl w:val="0"/>
          <w:numId w:val="1038"/>
        </w:numPr>
      </w:pPr>
      <w:r>
        <w:t xml:space="preserve">Fill-reconciliation gap rate</w:t>
      </w:r>
    </w:p>
    <w:p>
      <w:pPr>
        <w:pStyle w:val="Compact"/>
        <w:numPr>
          <w:ilvl w:val="0"/>
          <w:numId w:val="1038"/>
        </w:numPr>
      </w:pPr>
      <w:r>
        <w:t xml:space="preserve">Clinical-visit attendance rate</w:t>
      </w:r>
    </w:p>
    <w:p>
      <w:pPr>
        <w:pStyle w:val="FirstParagraph"/>
      </w:pPr>
      <w:r>
        <w:rPr>
          <w:b/>
          <w:bCs/>
        </w:rPr>
        <w:t xml:space="preserve">KPI 3 — Cost savings</w:t>
      </w:r>
    </w:p>
    <w:p>
      <w:pPr>
        <w:pStyle w:val="Compact"/>
        <w:numPr>
          <w:ilvl w:val="0"/>
          <w:numId w:val="1039"/>
        </w:numPr>
      </w:pPr>
      <w:r>
        <w:t xml:space="preserve">Year-over-year medical cost trend for enrolled cohort vs. matched no-program cohort</w:t>
      </w:r>
    </w:p>
    <w:p>
      <w:pPr>
        <w:pStyle w:val="Compact"/>
        <w:numPr>
          <w:ilvl w:val="0"/>
          <w:numId w:val="1039"/>
        </w:numPr>
      </w:pPr>
      <w:r>
        <w:t xml:space="preserve">GLP-1 PMPY (per member per year) for enrolled vs. unenrolled GLP-1 users</w:t>
      </w:r>
    </w:p>
    <w:p>
      <w:pPr>
        <w:pStyle w:val="Compact"/>
        <w:numPr>
          <w:ilvl w:val="0"/>
          <w:numId w:val="1039"/>
        </w:numPr>
      </w:pPr>
      <w:r>
        <w:t xml:space="preserve">Productivity savings estimate (RAND model)</w:t>
      </w:r>
    </w:p>
    <w:p>
      <w:pPr>
        <w:pStyle w:val="Compact"/>
        <w:numPr>
          <w:ilvl w:val="0"/>
          <w:numId w:val="1039"/>
        </w:numPr>
      </w:pPr>
      <w:r>
        <w:t xml:space="preserve">Cumulative program ROI ratio</w:t>
      </w:r>
    </w:p>
    <w:bookmarkEnd w:id="84"/>
    <w:bookmarkStart w:id="85" w:name="Xaba89a37a365a286957a4d8fcb7aa61864bf1ad"/>
    <w:p>
      <w:pPr>
        <w:pStyle w:val="Heading2"/>
      </w:pPr>
      <w:r>
        <w:t xml:space="preserve">9.2 Reporting cadence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Audience</w:t>
            </w:r>
          </w:p>
        </w:tc>
        <w:tc>
          <w:tcPr/>
          <w:p>
            <w:pPr>
              <w:pStyle w:val="Compact"/>
              <w:jc w:val="left"/>
            </w:pPr>
            <w:r>
              <w:t xml:space="preserve">Cadence</w:t>
            </w:r>
          </w:p>
        </w:tc>
        <w:tc>
          <w:tcPr/>
          <w:p>
            <w:pPr>
              <w:pStyle w:val="Compact"/>
              <w:jc w:val="left"/>
            </w:pPr>
            <w:r>
              <w:t xml:space="preserve">Format</w:t>
            </w:r>
          </w:p>
        </w:tc>
      </w:tr>
      <w:tr>
        <w:tc>
          <w:tcPr/>
          <w:p>
            <w:pPr>
              <w:pStyle w:val="Compact"/>
              <w:jc w:val="left"/>
            </w:pPr>
            <w:r>
              <w:t xml:space="preserve">County Risk Management and HR</w:t>
            </w:r>
          </w:p>
        </w:tc>
        <w:tc>
          <w:tcPr/>
          <w:p>
            <w:pPr>
              <w:pStyle w:val="Compact"/>
              <w:jc w:val="left"/>
            </w:pPr>
            <w:r>
              <w:t xml:space="preserve">Monthly</w:t>
            </w:r>
          </w:p>
        </w:tc>
        <w:tc>
          <w:tcPr/>
          <w:p>
            <w:pPr>
              <w:pStyle w:val="Compact"/>
              <w:jc w:val="left"/>
            </w:pPr>
            <w:r>
              <w:t xml:space="preserve">Live web link to the employer dashboard, plus a monthly PDF snapshot (PDF export deployed in implementation Week 6)</w:t>
            </w:r>
          </w:p>
        </w:tc>
      </w:tr>
      <w:tr>
        <w:tc>
          <w:tcPr/>
          <w:p>
            <w:pPr>
              <w:pStyle w:val="Compact"/>
              <w:jc w:val="left"/>
            </w:pPr>
            <w:r>
              <w:t xml:space="preserve">County executive (County Manager, Finance)</w:t>
            </w:r>
          </w:p>
        </w:tc>
        <w:tc>
          <w:tcPr/>
          <w:p>
            <w:pPr>
              <w:pStyle w:val="Compact"/>
              <w:jc w:val="left"/>
            </w:pPr>
            <w:r>
              <w:t xml:space="preserve">Quarterly</w:t>
            </w:r>
          </w:p>
        </w:tc>
        <w:tc>
          <w:tcPr/>
          <w:p>
            <w:pPr>
              <w:pStyle w:val="Compact"/>
              <w:jc w:val="left"/>
            </w:pPr>
            <w:r>
              <w:t xml:space="preserve">Executive summary with KPI trend, financial summary, action items</w:t>
            </w:r>
          </w:p>
        </w:tc>
      </w:tr>
      <w:tr>
        <w:tc>
          <w:tcPr/>
          <w:p>
            <w:pPr>
              <w:pStyle w:val="Compact"/>
              <w:jc w:val="left"/>
            </w:pPr>
            <w:r>
              <w:t xml:space="preserve">Board of County Commissioners</w:t>
            </w:r>
          </w:p>
        </w:tc>
        <w:tc>
          <w:tcPr/>
          <w:p>
            <w:pPr>
              <w:pStyle w:val="Compact"/>
              <w:jc w:val="left"/>
            </w:pPr>
            <w:r>
              <w:t xml:space="preserve">Annual</w:t>
            </w:r>
          </w:p>
        </w:tc>
        <w:tc>
          <w:tcPr/>
          <w:p>
            <w:pPr>
              <w:pStyle w:val="Compact"/>
              <w:jc w:val="left"/>
            </w:pPr>
            <w:r>
              <w:t xml:space="preserve">Outcomes report with year-over-year comparison</w:t>
            </w:r>
          </w:p>
        </w:tc>
      </w:tr>
      <w:tr>
        <w:tc>
          <w:tcPr/>
          <w:p>
            <w:pPr>
              <w:pStyle w:val="Compact"/>
              <w:jc w:val="left"/>
            </w:pPr>
            <w:r>
              <w:t xml:space="preserve">County IT and security</w:t>
            </w:r>
          </w:p>
        </w:tc>
        <w:tc>
          <w:tcPr/>
          <w:p>
            <w:pPr>
              <w:pStyle w:val="Compact"/>
              <w:jc w:val="left"/>
            </w:pPr>
            <w:r>
              <w:t xml:space="preserve">Quarterly</w:t>
            </w:r>
          </w:p>
        </w:tc>
        <w:tc>
          <w:tcPr/>
          <w:p>
            <w:pPr>
              <w:pStyle w:val="Compact"/>
              <w:jc w:val="left"/>
            </w:pPr>
            <w:r>
              <w:t xml:space="preserve">Security and compliance review</w:t>
            </w:r>
          </w:p>
        </w:tc>
      </w:tr>
      <w:tr>
        <w:tc>
          <w:tcPr/>
          <w:p>
            <w:pPr>
              <w:pStyle w:val="Compact"/>
              <w:jc w:val="left"/>
            </w:pPr>
            <w:r>
              <w:t xml:space="preserve">Broker of record (IMA)</w:t>
            </w:r>
          </w:p>
        </w:tc>
        <w:tc>
          <w:tcPr/>
          <w:p>
            <w:pPr>
              <w:pStyle w:val="Compact"/>
              <w:jc w:val="left"/>
            </w:pPr>
            <w:r>
              <w:t xml:space="preserve">Quarterly</w:t>
            </w:r>
          </w:p>
        </w:tc>
        <w:tc>
          <w:tcPr/>
          <w:p>
            <w:pPr>
              <w:pStyle w:val="Compact"/>
              <w:jc w:val="left"/>
            </w:pPr>
            <w:r>
              <w:t xml:space="preserve">Aligned with executive summary; IMA-facing economic detail</w:t>
            </w:r>
          </w:p>
        </w:tc>
      </w:tr>
    </w:tbl>
    <w:bookmarkEnd w:id="85"/>
    <w:bookmarkStart w:id="86" w:name="Xeef411a83b8622f8792c8f9b471e7ad2c7a1003"/>
    <w:p>
      <w:pPr>
        <w:pStyle w:val="Heading2"/>
      </w:pPr>
      <w:r>
        <w:t xml:space="preserve">9.3 Dashboard architecture</w:t>
      </w:r>
    </w:p>
    <w:p>
      <w:pPr>
        <w:pStyle w:val="FirstParagraph"/>
      </w:pPr>
      <w:r>
        <w:t xml:space="preserve">The Vitality employer dashboard will be accessible via the County's existing SSO infrastructure (Azure AD / Entra, SAML 2.0 or OIDC) following the 7–21-day SSO configuration window stated in Section 6.6. Until SSO cutover, authorized County users receive provisioned secure credentials with MFA. After cutover, authorized County users (HR, Risk Management, Finance, IT, leadership) see a real-time view of:</w:t>
      </w:r>
    </w:p>
    <w:p>
      <w:pPr>
        <w:pStyle w:val="Compact"/>
        <w:numPr>
          <w:ilvl w:val="0"/>
          <w:numId w:val="1040"/>
        </w:numPr>
      </w:pPr>
      <w:r>
        <w:t xml:space="preserve">Population baseline (4,213 adults, 5,871 enrolled — refreshed from UHC eligibility feed)</w:t>
      </w:r>
    </w:p>
    <w:p>
      <w:pPr>
        <w:pStyle w:val="Compact"/>
        <w:numPr>
          <w:ilvl w:val="0"/>
          <w:numId w:val="1040"/>
        </w:numPr>
      </w:pPr>
      <w:r>
        <w:t xml:space="preserve">Current enrollment by pathway</w:t>
      </w:r>
    </w:p>
    <w:p>
      <w:pPr>
        <w:pStyle w:val="Compact"/>
        <w:numPr>
          <w:ilvl w:val="0"/>
          <w:numId w:val="1040"/>
        </w:numPr>
      </w:pPr>
      <w:r>
        <w:t xml:space="preserve">KPI performance against targets</w:t>
      </w:r>
    </w:p>
    <w:p>
      <w:pPr>
        <w:pStyle w:val="Compact"/>
        <w:numPr>
          <w:ilvl w:val="0"/>
          <w:numId w:val="1040"/>
        </w:numPr>
      </w:pPr>
      <w:r>
        <w:t xml:space="preserve">GLP-1 utilization (pipeline view: past-year users → currently authorized → active on medication → goal achieved)</w:t>
      </w:r>
    </w:p>
    <w:p>
      <w:pPr>
        <w:pStyle w:val="Compact"/>
        <w:numPr>
          <w:ilvl w:val="0"/>
          <w:numId w:val="1040"/>
        </w:numPr>
      </w:pPr>
      <w:r>
        <w:t xml:space="preserve">ROI projection (live, with multi-year scenarios)</w:t>
      </w:r>
    </w:p>
    <w:p>
      <w:pPr>
        <w:pStyle w:val="Compact"/>
        <w:numPr>
          <w:ilvl w:val="0"/>
          <w:numId w:val="1040"/>
        </w:numPr>
      </w:pPr>
      <w:r>
        <w:t xml:space="preserve">Engagement alerts (members at risk of disengagement)</w:t>
      </w:r>
    </w:p>
    <w:p>
      <w:pPr>
        <w:pStyle w:val="Compact"/>
        <w:numPr>
          <w:ilvl w:val="0"/>
          <w:numId w:val="1040"/>
        </w:numPr>
      </w:pPr>
      <w:r>
        <w:t xml:space="preserve">VITA AI Analytics Advisor (employer mode) for natural-language queries</w:t>
      </w:r>
    </w:p>
    <w:p>
      <w:pPr>
        <w:pStyle w:val="FirstParagraph"/>
      </w:pPr>
      <w:r>
        <w:t xml:space="preserve">All de-identified aggregate exports are downloadable as CSV for ingestion into the County's preferred BI tooling (Power BI, Tableau, or equivalent).</w:t>
      </w:r>
    </w:p>
    <w:bookmarkEnd w:id="86"/>
    <w:bookmarkStart w:id="87" w:name="Xd790d48733d71c710be4820a5640d9c8894b3f2"/>
    <w:p>
      <w:pPr>
        <w:pStyle w:val="Heading2"/>
      </w:pPr>
      <w:r>
        <w:t xml:space="preserve">9.4 Billing and invoicing operations</w:t>
      </w:r>
    </w:p>
    <w:p>
      <w:pPr>
        <w:pStyle w:val="FirstParagraph"/>
      </w:pPr>
      <w:r>
        <w:t xml:space="preserve">Vitality operates a single consolidated billing model under Love Clinic &amp; Med Spa, LLC as Prime Contractor. The County receives one monthly invoice from the Prime covering all four partners' work; the Prime handles all subcontractor disbursements internally, with HIS providing accounting and disbursement administration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Billing cycle</w:t>
            </w:r>
          </w:p>
        </w:tc>
        <w:tc>
          <w:tcPr/>
          <w:p>
            <w:pPr>
              <w:pStyle w:val="Compact"/>
              <w:jc w:val="left"/>
            </w:pPr>
            <w:r>
              <w:t xml:space="preserve">Monthly, in arrears</w:t>
            </w:r>
          </w:p>
        </w:tc>
      </w:tr>
      <w:tr>
        <w:tc>
          <w:tcPr/>
          <w:p>
            <w:pPr>
              <w:pStyle w:val="Compact"/>
              <w:jc w:val="left"/>
            </w:pPr>
            <w:r>
              <w:t xml:space="preserve">Invoice format</w:t>
            </w:r>
          </w:p>
        </w:tc>
        <w:tc>
          <w:tcPr/>
          <w:p>
            <w:pPr>
              <w:pStyle w:val="Compact"/>
              <w:jc w:val="left"/>
            </w:pPr>
            <w:r>
              <w:t xml:space="preserve">PDF + structured CSV companion, sent to County AP and designated County HR contact</w:t>
            </w:r>
          </w:p>
        </w:tc>
      </w:tr>
      <w:tr>
        <w:tc>
          <w:tcPr/>
          <w:p>
            <w:pPr>
              <w:pStyle w:val="Compact"/>
              <w:jc w:val="left"/>
            </w:pPr>
            <w:r>
              <w:t xml:space="preserve">Invoice content</w:t>
            </w:r>
          </w:p>
        </w:tc>
        <w:tc>
          <w:tcPr/>
          <w:p>
            <w:pPr>
              <w:pStyle w:val="Compact"/>
              <w:jc w:val="left"/>
            </w:pPr>
            <w:r>
              <w:t xml:space="preserve">Base PEPM × enrolled member count for the period, by pathway; itemized variable charges (GLP-1 medication passthrough at cost, if elected by County); credits and adjustments; any at-risk withhold or performance bonus per the §8.5 overlay if elected</w:t>
            </w:r>
          </w:p>
        </w:tc>
      </w:tr>
      <w:tr>
        <w:tc>
          <w:tcPr/>
          <w:p>
            <w:pPr>
              <w:pStyle w:val="Compact"/>
              <w:jc w:val="left"/>
            </w:pPr>
            <w:r>
              <w:t xml:space="preserve">Payment terms</w:t>
            </w:r>
          </w:p>
        </w:tc>
        <w:tc>
          <w:tcPr/>
          <w:p>
            <w:pPr>
              <w:pStyle w:val="Compact"/>
              <w:jc w:val="left"/>
            </w:pPr>
            <w:r>
              <w:t xml:space="preserve">Net 30, electronic ACH preferred</w:t>
            </w:r>
          </w:p>
        </w:tc>
      </w:tr>
      <w:tr>
        <w:tc>
          <w:tcPr/>
          <w:p>
            <w:pPr>
              <w:pStyle w:val="Compact"/>
              <w:jc w:val="left"/>
            </w:pPr>
            <w:r>
              <w:t xml:space="preserve">Reconciliation</w:t>
            </w:r>
          </w:p>
        </w:tc>
        <w:tc>
          <w:tcPr/>
          <w:p>
            <w:pPr>
              <w:pStyle w:val="Compact"/>
              <w:jc w:val="left"/>
            </w:pPr>
            <w:r>
              <w:t xml:space="preserve">Quarterly reconciliation between HIS billing records and UHC eligibility records; any discrepancies flagged and resolved within 5 business days</w:t>
            </w:r>
          </w:p>
        </w:tc>
      </w:tr>
      <w:tr>
        <w:tc>
          <w:tcPr/>
          <w:p>
            <w:pPr>
              <w:pStyle w:val="Compact"/>
              <w:jc w:val="left"/>
            </w:pPr>
            <w:r>
              <w:t xml:space="preserve">Audit support</w:t>
            </w:r>
          </w:p>
        </w:tc>
        <w:tc>
          <w:tcPr/>
          <w:p>
            <w:pPr>
              <w:pStyle w:val="Compact"/>
              <w:jc w:val="left"/>
            </w:pPr>
            <w:r>
              <w:t xml:space="preserve">All billing records retained 7 years; full audit-trail access for County Finance and Internal Audit on 5-business-day notice</w:t>
            </w:r>
          </w:p>
        </w:tc>
      </w:tr>
      <w:tr>
        <w:tc>
          <w:tcPr/>
          <w:p>
            <w:pPr>
              <w:pStyle w:val="Compact"/>
              <w:jc w:val="left"/>
            </w:pPr>
            <w:r>
              <w:t xml:space="preserve">Change orders</w:t>
            </w:r>
          </w:p>
        </w:tc>
        <w:tc>
          <w:tcPr/>
          <w:p>
            <w:pPr>
              <w:pStyle w:val="Compact"/>
              <w:jc w:val="left"/>
            </w:pPr>
            <w:r>
              <w:t xml:space="preserve">Any pricing or scope change must be approved in writing by both parties before invoicing</w:t>
            </w:r>
          </w:p>
        </w:tc>
      </w:tr>
    </w:tbl>
    <w:bookmarkEnd w:id="87"/>
    <w:bookmarkStart w:id="88" w:name="Xd60fcaec8de848dee330a94b304e69f66a73221"/>
    <w:p>
      <w:pPr>
        <w:pStyle w:val="Heading2"/>
      </w:pPr>
      <w:r>
        <w:t xml:space="preserve">9.5 Claims coordination and data exchange</w:t>
      </w:r>
    </w:p>
    <w:p>
      <w:pPr>
        <w:pStyle w:val="FirstParagraph"/>
      </w:pPr>
      <w:r>
        <w:t xml:space="preserve">Vitality is not a payer and does not adjudicate medical or pharmacy claims. The program coordinates with UnitedHealthcare (the County's TPA) and OptumRx (the County's PBM) for outcome measurement and care-coordination purposes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Coordinated with</w:t>
            </w:r>
          </w:p>
        </w:tc>
        <w:tc>
          <w:tcPr/>
          <w:p>
            <w:pPr>
              <w:pStyle w:val="Compact"/>
              <w:jc w:val="left"/>
            </w:pPr>
            <w:r>
              <w:t xml:space="preserve">Frequency</w:t>
            </w:r>
          </w:p>
        </w:tc>
      </w:tr>
      <w:tr>
        <w:tc>
          <w:tcPr/>
          <w:p>
            <w:pPr>
              <w:pStyle w:val="Compact"/>
              <w:jc w:val="left"/>
            </w:pPr>
            <w:r>
              <w:t xml:space="preserve">Member eligibility</w:t>
            </w:r>
          </w:p>
        </w:tc>
        <w:tc>
          <w:tcPr/>
          <w:p>
            <w:pPr>
              <w:pStyle w:val="Compact"/>
              <w:jc w:val="left"/>
            </w:pPr>
            <w:r>
              <w:t xml:space="preserve">UHC</w:t>
            </w:r>
          </w:p>
        </w:tc>
        <w:tc>
          <w:tcPr/>
          <w:p>
            <w:pPr>
              <w:pStyle w:val="Compact"/>
              <w:jc w:val="left"/>
            </w:pPr>
            <w:r>
              <w:t xml:space="preserve">Daily</w:t>
            </w:r>
          </w:p>
        </w:tc>
      </w:tr>
      <w:tr>
        <w:tc>
          <w:tcPr/>
          <w:p>
            <w:pPr>
              <w:pStyle w:val="Compact"/>
              <w:jc w:val="left"/>
            </w:pPr>
            <w:r>
              <w:t xml:space="preserve">Medical-claims trend for enrolled cohort</w:t>
            </w:r>
          </w:p>
        </w:tc>
        <w:tc>
          <w:tcPr/>
          <w:p>
            <w:pPr>
              <w:pStyle w:val="Compact"/>
              <w:jc w:val="left"/>
            </w:pPr>
            <w:r>
              <w:t xml:space="preserve">UHC</w:t>
            </w:r>
          </w:p>
        </w:tc>
        <w:tc>
          <w:tcPr/>
          <w:p>
            <w:pPr>
              <w:pStyle w:val="Compact"/>
              <w:jc w:val="left"/>
            </w:pPr>
            <w:r>
              <w:t xml:space="preserve">Monthly de-identified extract under BAA</w:t>
            </w:r>
          </w:p>
        </w:tc>
      </w:tr>
      <w:tr>
        <w:tc>
          <w:tcPr/>
          <w:p>
            <w:pPr>
              <w:pStyle w:val="Compact"/>
              <w:jc w:val="left"/>
            </w:pPr>
            <w:r>
              <w:t xml:space="preserve">GLP-1 prior-authorization status</w:t>
            </w:r>
          </w:p>
        </w:tc>
        <w:tc>
          <w:tcPr/>
          <w:p>
            <w:pPr>
              <w:pStyle w:val="Compact"/>
              <w:jc w:val="left"/>
            </w:pPr>
            <w:r>
              <w:t xml:space="preserve">OptumRx</w:t>
            </w:r>
          </w:p>
        </w:tc>
        <w:tc>
          <w:tcPr/>
          <w:p>
            <w:pPr>
              <w:pStyle w:val="Compact"/>
              <w:jc w:val="left"/>
            </w:pPr>
            <w:r>
              <w:t xml:space="preserve">On-demand read</w:t>
            </w:r>
          </w:p>
        </w:tc>
      </w:tr>
      <w:tr>
        <w:tc>
          <w:tcPr/>
          <w:p>
            <w:pPr>
              <w:pStyle w:val="Compact"/>
              <w:jc w:val="left"/>
            </w:pPr>
            <w:r>
              <w:t xml:space="preserve">GLP-1 fill history</w:t>
            </w:r>
          </w:p>
        </w:tc>
        <w:tc>
          <w:tcPr/>
          <w:p>
            <w:pPr>
              <w:pStyle w:val="Compact"/>
              <w:jc w:val="left"/>
            </w:pPr>
            <w:r>
              <w:t xml:space="preserve">OptumRx</w:t>
            </w:r>
          </w:p>
        </w:tc>
        <w:tc>
          <w:tcPr/>
          <w:p>
            <w:pPr>
              <w:pStyle w:val="Compact"/>
              <w:jc w:val="left"/>
            </w:pPr>
            <w:r>
              <w:t xml:space="preserve">Weekly</w:t>
            </w:r>
          </w:p>
        </w:tc>
      </w:tr>
      <w:tr>
        <w:tc>
          <w:tcPr/>
          <w:p>
            <w:pPr>
              <w:pStyle w:val="Compact"/>
              <w:jc w:val="left"/>
            </w:pPr>
            <w:r>
              <w:t xml:space="preserve">Member care-coordination notes</w:t>
            </w:r>
          </w:p>
        </w:tc>
        <w:tc>
          <w:tcPr/>
          <w:p>
            <w:pPr>
              <w:pStyle w:val="Compact"/>
              <w:jc w:val="left"/>
            </w:pPr>
            <w:r>
              <w:t xml:space="preserve">Member's PCP (with member consent)</w:t>
            </w:r>
          </w:p>
        </w:tc>
        <w:tc>
          <w:tcPr/>
          <w:p>
            <w:pPr>
              <w:pStyle w:val="Compact"/>
              <w:jc w:val="left"/>
            </w:pPr>
            <w:r>
              <w:t xml:space="preserve">Event-driven</w:t>
            </w:r>
          </w:p>
        </w:tc>
      </w:tr>
      <w:tr>
        <w:tc>
          <w:tcPr/>
          <w:p>
            <w:pPr>
              <w:pStyle w:val="Compact"/>
              <w:jc w:val="left"/>
            </w:pPr>
            <w:r>
              <w:t xml:space="preserve">Aggregate outcome reporting back to County</w:t>
            </w:r>
          </w:p>
        </w:tc>
        <w:tc>
          <w:tcPr/>
          <w:p>
            <w:pPr>
              <w:pStyle w:val="Compact"/>
              <w:jc w:val="left"/>
            </w:pPr>
            <w:r>
              <w:t xml:space="preserve">County HR, Risk Management, Finance</w:t>
            </w:r>
          </w:p>
        </w:tc>
        <w:tc>
          <w:tcPr/>
          <w:p>
            <w:pPr>
              <w:pStyle w:val="Compact"/>
              <w:jc w:val="left"/>
            </w:pPr>
            <w:r>
              <w:t xml:space="preserve">Per §9.2 cadence</w:t>
            </w:r>
          </w:p>
        </w:tc>
      </w:tr>
    </w:tbl>
    <w:p>
      <w:pPr>
        <w:pStyle w:val="BodyText"/>
      </w:pPr>
      <w:r>
        <w:t xml:space="preserve">No Protected Health Information is transferred to any party outside the BAA-covered network. All de-identified aggregate reporting to the County uses HIPAA Safe Harbor methodology, with Expert Determination available where small cohort sizes require it.</w:t>
      </w:r>
    </w:p>
    <w:p>
      <w:pPr>
        <w:pStyle w:val="BodyText"/>
      </w:pPr>
      <w:r>
        <w:rPr>
          <w:b/>
          <w:bCs/>
        </w:rPr>
        <w:t xml:space="preserve">[Evidence — Criterion IV]:</w:t>
      </w:r>
      <w:r>
        <w:t xml:space="preserve"> </w:t>
      </w:r>
      <w:r>
        <w:t xml:space="preserve">Five reporting cadences with named audiences (monthly operational · quarterly executive · annual BoCC · quarterly security · quarterly broker). Three KPI categories with specific measurable sub-metrics each (mirroring Addendum #2 verbatim). Consolidated monthly invoicing through the Prime (Love Clinic &amp; Med Spa, LLC) with PDF + CSV format. Quarterly UHC eligibility reconciliation. 7-year billing-record retention. Six named claims-coordination data flows. HIPAA Safe Harbor / Expert Determination de-identification. Real-time employer dashboard accessible via County SSO. Net 30 payment terms.</w:t>
      </w:r>
    </w:p>
    <w:p>
      <w:r>
        <w:pict>
          <v:rect style="width:0;height:1.5pt" o:hralign="center" o:hrstd="t" o:hr="t"/>
        </w:pict>
      </w:r>
    </w:p>
    <w:bookmarkEnd w:id="88"/>
    <w:bookmarkEnd w:id="89"/>
    <w:bookmarkStart w:id="90" w:name="X8457455c41cf8d62bd4e9b0566669540ac67131"/>
    <w:p>
      <w:pPr>
        <w:pStyle w:val="Heading1"/>
      </w:pPr>
      <w:r>
        <w:t xml:space="preserve">Section 10 — References and Past Performance</w:t>
      </w:r>
    </w:p>
    <w:p>
      <w:pPr>
        <w:pStyle w:val="FirstParagraph"/>
      </w:pPr>
      <w:r>
        <w:t xml:space="preserve">References are organized by team competency and are submitted in</w:t>
      </w:r>
      <w:r>
        <w:t xml:space="preserve"> </w:t>
      </w:r>
      <w:r>
        <w:rPr>
          <w:b/>
          <w:bCs/>
        </w:rPr>
        <w:t xml:space="preserve">Appendix E</w:t>
      </w:r>
      <w:r>
        <w:t xml:space="preserve"> </w:t>
      </w:r>
      <w:r>
        <w:t xml:space="preserve">in the priority order the proposing team believes most relevant to a public-sector employer-health procurement:</w:t>
      </w:r>
    </w:p>
    <w:p>
      <w:pPr>
        <w:pStyle w:val="Compact"/>
        <w:numPr>
          <w:ilvl w:val="0"/>
          <w:numId w:val="1041"/>
        </w:numPr>
      </w:pPr>
      <w:r>
        <w:rPr>
          <w:b/>
          <w:bCs/>
        </w:rPr>
        <w:t xml:space="preserve">Public-sector engagements</w:t>
      </w:r>
      <w:r>
        <w:t xml:space="preserve"> </w:t>
      </w:r>
      <w:r>
        <w:t xml:space="preserve">(city, county, school district, state, federal) — strongest signal of fit for this RFP</w:t>
      </w:r>
    </w:p>
    <w:p>
      <w:pPr>
        <w:pStyle w:val="Compact"/>
        <w:numPr>
          <w:ilvl w:val="0"/>
          <w:numId w:val="1041"/>
        </w:numPr>
      </w:pPr>
      <w:r>
        <w:rPr>
          <w:b/>
          <w:bCs/>
        </w:rPr>
        <w:t xml:space="preserve">Self-insured employer engagements</w:t>
      </w:r>
      <w:r>
        <w:t xml:space="preserve"> </w:t>
      </w:r>
      <w:r>
        <w:t xml:space="preserve">— most relevant economic and administrative parallel</w:t>
      </w:r>
    </w:p>
    <w:p>
      <w:pPr>
        <w:pStyle w:val="Compact"/>
        <w:numPr>
          <w:ilvl w:val="0"/>
          <w:numId w:val="1041"/>
        </w:numPr>
      </w:pPr>
      <w:r>
        <w:rPr>
          <w:b/>
          <w:bCs/>
        </w:rPr>
        <w:t xml:space="preserve">Clinical practice references (Dr. Love)</w:t>
      </w:r>
      <w:r>
        <w:t xml:space="preserve"> </w:t>
      </w:r>
      <w:r>
        <w:t xml:space="preserve">and</w:t>
      </w:r>
      <w:r>
        <w:t xml:space="preserve"> </w:t>
      </w:r>
      <w:r>
        <w:rPr>
          <w:b/>
          <w:bCs/>
        </w:rPr>
        <w:t xml:space="preserve">community / wellness program references (Dr. Vann)</w:t>
      </w:r>
      <w:r>
        <w:t xml:space="preserve"> </w:t>
      </w:r>
      <w:r>
        <w:t xml:space="preserve">— supporting domain credibility for their respective scopes</w:t>
      </w:r>
    </w:p>
    <w:p>
      <w:pPr>
        <w:pStyle w:val="FirstParagraph"/>
      </w:pPr>
      <w:r>
        <w:t xml:space="preserve">Detailed reference letters and performance documentation are also available upon request from the Sedgwick County Purchasing Department.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Competency domain</w:t>
            </w:r>
          </w:p>
        </w:tc>
        <w:tc>
          <w:tcPr/>
          <w:p>
            <w:pPr>
              <w:pStyle w:val="Compact"/>
              <w:jc w:val="left"/>
            </w:pPr>
            <w:r>
              <w:t xml:space="preserve">Lead</w:t>
            </w:r>
          </w:p>
        </w:tc>
        <w:tc>
          <w:tcPr/>
          <w:p>
            <w:pPr>
              <w:pStyle w:val="Compact"/>
              <w:jc w:val="left"/>
            </w:pPr>
            <w:r>
              <w:t xml:space="preserve">Reference scope</w:t>
            </w:r>
          </w:p>
        </w:tc>
      </w:tr>
      <w:tr>
        <w:tc>
          <w:tcPr/>
          <w:p>
            <w:pPr>
              <w:pStyle w:val="Compact"/>
              <w:jc w:val="left"/>
            </w:pPr>
            <w:r>
              <w:t xml:space="preserve">Contract administration and government compliance</w:t>
            </w:r>
          </w:p>
        </w:tc>
        <w:tc>
          <w:tcPr/>
          <w:p>
            <w:pPr>
              <w:pStyle w:val="Compact"/>
              <w:jc w:val="left"/>
            </w:pPr>
            <w:r>
              <w:t xml:space="preserve">Eric Hargrave, HIS (subcontractor to Prime)</w:t>
            </w:r>
          </w:p>
        </w:tc>
        <w:tc>
          <w:tcPr/>
          <w:p>
            <w:pPr>
              <w:pStyle w:val="Compact"/>
              <w:jc w:val="left"/>
            </w:pPr>
            <w:r>
              <w:t xml:space="preserve">Active prime-contractor engagements; public-sector and enterprise health-tech implementations. References available on request.</w:t>
            </w:r>
          </w:p>
        </w:tc>
      </w:tr>
      <w:tr>
        <w:tc>
          <w:tcPr/>
          <w:p>
            <w:pPr>
              <w:pStyle w:val="Compact"/>
              <w:jc w:val="left"/>
            </w:pPr>
            <w:r>
              <w:t xml:space="preserve">Clinical weight management</w:t>
            </w:r>
          </w:p>
        </w:tc>
        <w:tc>
          <w:tcPr/>
          <w:p>
            <w:pPr>
              <w:pStyle w:val="Compact"/>
              <w:jc w:val="left"/>
            </w:pPr>
            <w:r>
              <w:t xml:space="preserve">Dr. Chela Love, DNP, FNP-C, Love Clinic &amp; Med Spa, LLC</w:t>
            </w:r>
          </w:p>
        </w:tc>
        <w:tc>
          <w:tcPr/>
          <w:p>
            <w:pPr>
              <w:pStyle w:val="Compact"/>
              <w:jc w:val="left"/>
            </w:pPr>
            <w:r>
              <w:t xml:space="preserve">Nine years' continuous Wichita clinical practice (since Jan 2017); active GLP-1 / GLP-2 patient panel; 10-step intake-to-maintenance workflow in production; three written employer references on file (Appendix E.1.a–c). Additional patient-panel and referring-provider references available subject to HIPAA authorization.</w:t>
            </w:r>
          </w:p>
        </w:tc>
      </w:tr>
      <w:tr>
        <w:tc>
          <w:tcPr/>
          <w:p>
            <w:pPr>
              <w:pStyle w:val="Compact"/>
              <w:jc w:val="left"/>
            </w:pPr>
            <w:r>
              <w:t xml:space="preserve">Wellness coaching and behavioral engagement</w:t>
            </w:r>
          </w:p>
        </w:tc>
        <w:tc>
          <w:tcPr/>
          <w:p>
            <w:pPr>
              <w:pStyle w:val="Compact"/>
              <w:jc w:val="left"/>
            </w:pPr>
            <w:r>
              <w:t xml:space="preserve">Dr. J. Michelle Vann, Vanntastic Solutions</w:t>
            </w:r>
          </w:p>
        </w:tc>
        <w:tc>
          <w:tcPr/>
          <w:p>
            <w:pPr>
              <w:pStyle w:val="Compact"/>
              <w:jc w:val="left"/>
            </w:pPr>
            <w:r>
              <w:t xml:space="preserve">Public speaking (TEDx); community-based wellness programming; youth and family wellness work in the Wichita area. References available on request.</w:t>
            </w:r>
          </w:p>
        </w:tc>
      </w:tr>
      <w:tr>
        <w:tc>
          <w:tcPr/>
          <w:p>
            <w:pPr>
              <w:pStyle w:val="Compact"/>
              <w:jc w:val="left"/>
            </w:pPr>
            <w:r>
              <w:t xml:space="preserve">Digital platform, engagement systems, and data</w:t>
            </w:r>
          </w:p>
        </w:tc>
        <w:tc>
          <w:tcPr/>
          <w:p>
            <w:pPr>
              <w:pStyle w:val="Compact"/>
              <w:jc w:val="left"/>
            </w:pPr>
            <w:r>
              <w:t xml:space="preserve">Dr. Terry D. Flood, DHA, President, The COLLABORATIVE Advocate Foundation (TCAF)</w:t>
            </w:r>
          </w:p>
        </w:tc>
        <w:tc>
          <w:tcPr/>
          <w:p>
            <w:pPr>
              <w:pStyle w:val="Compact"/>
              <w:jc w:val="left"/>
            </w:pPr>
            <w:r>
              <w:t xml:space="preserve">U.S. Army retiree with extensive public-sector implementation background. Active Secret-level clearance (verification on file with the Prime). Specialization in FHIR/HL7 integration, population-health analytics, and implementation-science frameworks (CFIR / RE-AIM / EPIS). CHW-Instructor credential and responsible-AI certification. TCAF SAM.gov ACTIVE through May 6, 2027 (UEI KDDVD1FGLW35 · CAGE 209N1 · EIN 41-3618003); 501(c)(3) public-charity status determined January 14, 2026. References available on request, subject to clearance constraints.</w:t>
            </w:r>
          </w:p>
        </w:tc>
      </w:tr>
    </w:tbl>
    <w:p>
      <w:r>
        <w:pict>
          <v:rect style="width:0;height:1.5pt" o:hralign="center" o:hrstd="t" o:hr="t"/>
        </w:pict>
      </w:r>
    </w:p>
    <w:bookmarkEnd w:id="90"/>
    <w:bookmarkStart w:id="100" w:name="X2c7000eaeeeed5f1983506b891ef58f6d924afd"/>
    <w:p>
      <w:pPr>
        <w:pStyle w:val="Heading1"/>
      </w:pPr>
      <w:r>
        <w:t xml:space="preserve">Section 11 — Compliance, Insurance, and Certifications</w:t>
      </w:r>
    </w:p>
    <w:bookmarkStart w:id="91" w:name="X3a642ad65c6e27c4fc6a555c6d74b85ffea5c66"/>
    <w:p>
      <w:pPr>
        <w:pStyle w:val="Heading2"/>
      </w:pPr>
      <w:r>
        <w:t xml:space="preserve">11.1 HIPAA and Business Associate Agreement</w:t>
      </w:r>
    </w:p>
    <w:p>
      <w:pPr>
        <w:pStyle w:val="FirstParagraph"/>
      </w:pPr>
      <w:r>
        <w:t xml:space="preserve">Love Clinic &amp; Med Spa, LLC, as Prime Contractor, will execute the County's standard Business Associate Agreement at contract award. All three subcontractors (Hargrave Innovative Solutions, Vanntastic Solutions, The COLLABORATIVE Advocate Foundation) will execute back-to-back BAAs with HIS that flow down all material HIPAA terms from the County's BAA. We are prepared to execute the County's standard template, or to negotiate any County-required modifications.</w:t>
      </w:r>
    </w:p>
    <w:bookmarkEnd w:id="91"/>
    <w:bookmarkStart w:id="92" w:name="X3c53ffd489822b1738ab08f5fd0ab463f574485"/>
    <w:p>
      <w:pPr>
        <w:pStyle w:val="Heading2"/>
      </w:pPr>
      <w:r>
        <w:t xml:space="preserve">11.2 Insurance — line-by-line compliance with RFP Insurance Requirements</w:t>
      </w:r>
    </w:p>
    <w:p>
      <w:pPr>
        <w:pStyle w:val="FirstParagraph"/>
      </w:pPr>
      <w:r>
        <w:t xml:space="preserve">The Love Clinic Prime Contractor team commits to maintaining the following insurance coverages throughout the contract term, in each case meeting or exceeding the RFP's stated minimums. A Letter of Insurability from the Prime's broker (Love Clinic &amp; Med Spa, LLC) (and current Certificates of Insurance for each named subcontractor) is included in Appendix G. Final policy-bound Certificates naming Sedgwick County as additional insured will be provided prior to contract award.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RFP Minimum</w:t>
            </w:r>
          </w:p>
        </w:tc>
        <w:tc>
          <w:tcPr/>
          <w:p>
            <w:pPr>
              <w:pStyle w:val="Compact"/>
              <w:jc w:val="left"/>
            </w:pPr>
            <w:r>
              <w:t xml:space="preserve">HIS Commitment</w:t>
            </w:r>
          </w:p>
        </w:tc>
        <w:tc>
          <w:tcPr/>
          <w:p>
            <w:pPr>
              <w:pStyle w:val="Compact"/>
              <w:jc w:val="left"/>
            </w:pPr>
            <w:r>
              <w:t xml:space="preserve">Notes</w:t>
            </w:r>
          </w:p>
        </w:tc>
      </w:tr>
      <w:tr>
        <w:tc>
          <w:tcPr/>
          <w:p>
            <w:pPr>
              <w:pStyle w:val="Compact"/>
              <w:jc w:val="left"/>
            </w:pPr>
            <w:r>
              <w:t xml:space="preserve">Workers' Compensation</w:t>
            </w:r>
          </w:p>
        </w:tc>
        <w:tc>
          <w:tcPr/>
          <w:p>
            <w:pPr>
              <w:pStyle w:val="Compact"/>
              <w:jc w:val="left"/>
            </w:pPr>
            <w:r>
              <w:t xml:space="preserve">Per Kansas statute</w:t>
            </w:r>
          </w:p>
        </w:tc>
        <w:tc>
          <w:tcPr/>
          <w:p>
            <w:pPr>
              <w:pStyle w:val="Compact"/>
              <w:jc w:val="left"/>
            </w:pPr>
            <w:r>
              <w:t xml:space="preserve">Met</w:t>
            </w:r>
          </w:p>
        </w:tc>
        <w:tc>
          <w:tcPr/>
          <w:p>
            <w:pPr>
              <w:pStyle w:val="Compact"/>
              <w:jc w:val="left"/>
            </w:pPr>
            <w:r>
              <w:t xml:space="preserve">Maintained per KS statute by HIS and each named subcontractor</w:t>
            </w:r>
          </w:p>
        </w:tc>
      </w:tr>
      <w:tr>
        <w:tc>
          <w:tcPr/>
          <w:p>
            <w:pPr>
              <w:pStyle w:val="Compact"/>
              <w:jc w:val="left"/>
            </w:pPr>
            <w:r>
              <w:t xml:space="preserve">Employer's Liability</w:t>
            </w:r>
          </w:p>
        </w:tc>
        <w:tc>
          <w:tcPr/>
          <w:p>
            <w:pPr>
              <w:pStyle w:val="Compact"/>
              <w:jc w:val="left"/>
            </w:pPr>
            <w:r>
              <w:t xml:space="preserve">$500,000 each accident / each disease / each employee</w:t>
            </w:r>
          </w:p>
        </w:tc>
        <w:tc>
          <w:tcPr/>
          <w:p>
            <w:pPr>
              <w:pStyle w:val="Compact"/>
              <w:jc w:val="left"/>
            </w:pPr>
            <w:r>
              <w:t xml:space="preserve">Met</w:t>
            </w:r>
          </w:p>
        </w:tc>
        <w:tc>
          <w:tcPr/>
          <w:p>
            <w:pPr>
              <w:pStyle w:val="Compact"/>
            </w:pPr>
          </w:p>
        </w:tc>
      </w:tr>
      <w:tr>
        <w:tc>
          <w:tcPr/>
          <w:p>
            <w:pPr>
              <w:pStyle w:val="Compact"/>
              <w:jc w:val="left"/>
            </w:pPr>
            <w:r>
              <w:t xml:space="preserve">Commercial General Liability</w:t>
            </w:r>
          </w:p>
        </w:tc>
        <w:tc>
          <w:tcPr/>
          <w:p>
            <w:pPr>
              <w:pStyle w:val="Compact"/>
              <w:jc w:val="left"/>
            </w:pPr>
            <w:r>
              <w:t xml:space="preserve">$1M each occurrence · $2M general aggregate per project · $1M personal &amp; advertising injury · $2M products &amp; completed operations aggregate. Form CG 00 01 04 13 or equivalent.</w:t>
            </w:r>
          </w:p>
        </w:tc>
        <w:tc>
          <w:tcPr/>
          <w:p>
            <w:pPr>
              <w:pStyle w:val="Compact"/>
              <w:jc w:val="left"/>
            </w:pPr>
            <w:r>
              <w:t xml:space="preserve">Met</w:t>
            </w:r>
          </w:p>
        </w:tc>
        <w:tc>
          <w:tcPr/>
          <w:p>
            <w:pPr>
              <w:pStyle w:val="Compact"/>
              <w:jc w:val="left"/>
            </w:pPr>
            <w:r>
              <w:t xml:space="preserve">Sedgwick County, its officials, employees, and agents named as additional insured for both ongoing and completed operations</w:t>
            </w:r>
          </w:p>
        </w:tc>
      </w:tr>
      <w:tr>
        <w:tc>
          <w:tcPr/>
          <w:p>
            <w:pPr>
              <w:pStyle w:val="Compact"/>
              <w:jc w:val="left"/>
            </w:pPr>
            <w:r>
              <w:t xml:space="preserve">Automobile Liability</w:t>
            </w:r>
          </w:p>
        </w:tc>
        <w:tc>
          <w:tcPr/>
          <w:p>
            <w:pPr>
              <w:pStyle w:val="Compact"/>
              <w:jc w:val="left"/>
            </w:pPr>
            <w:r>
              <w:t xml:space="preserve">$500,000 combined single limit</w:t>
            </w:r>
          </w:p>
        </w:tc>
        <w:tc>
          <w:tcPr/>
          <w:p>
            <w:pPr>
              <w:pStyle w:val="Compact"/>
              <w:jc w:val="left"/>
            </w:pPr>
            <w:r>
              <w:t xml:space="preserve">Met</w:t>
            </w:r>
          </w:p>
        </w:tc>
        <w:tc>
          <w:tcPr/>
          <w:p>
            <w:pPr>
              <w:pStyle w:val="Compact"/>
              <w:jc w:val="left"/>
            </w:pPr>
            <w:r>
              <w:t xml:space="preserve">Sedgwick County named as additional insured</w:t>
            </w:r>
          </w:p>
        </w:tc>
      </w:tr>
      <w:tr>
        <w:tc>
          <w:tcPr/>
          <w:p>
            <w:pPr>
              <w:pStyle w:val="Compact"/>
              <w:jc w:val="left"/>
            </w:pPr>
            <w:r>
              <w:t xml:space="preserve">Umbrella / Excess Liability</w:t>
            </w:r>
          </w:p>
        </w:tc>
        <w:tc>
          <w:tcPr/>
          <w:p>
            <w:pPr>
              <w:pStyle w:val="Compact"/>
              <w:jc w:val="left"/>
            </w:pPr>
            <w:r>
              <w:t xml:space="preserve">Required (following form for GL and Auto)</w:t>
            </w:r>
          </w:p>
        </w:tc>
        <w:tc>
          <w:tcPr/>
          <w:p>
            <w:pPr>
              <w:pStyle w:val="Compact"/>
              <w:jc w:val="left"/>
            </w:pPr>
            <w:r>
              <w:t xml:space="preserve">Met</w:t>
            </w:r>
          </w:p>
        </w:tc>
        <w:tc>
          <w:tcPr/>
          <w:p>
            <w:pPr>
              <w:pStyle w:val="Compact"/>
            </w:pPr>
          </w:p>
        </w:tc>
      </w:tr>
      <w:tr>
        <w:tc>
          <w:tcPr/>
          <w:p>
            <w:pPr>
              <w:pStyle w:val="Compact"/>
              <w:jc w:val="left"/>
            </w:pPr>
            <w:r>
              <w:t xml:space="preserve">Professional Liability / Errors &amp; Omissions</w:t>
            </w:r>
          </w:p>
        </w:tc>
        <w:tc>
          <w:tcPr/>
          <w:p>
            <w:pPr>
              <w:pStyle w:val="Compact"/>
              <w:jc w:val="left"/>
            </w:pPr>
            <w:r>
              <w:t xml:space="preserve">$1M each claim · $1M aggregate · retroactive date prior to services start · maintained 3 years post-completion</w:t>
            </w:r>
          </w:p>
        </w:tc>
        <w:tc>
          <w:tcPr/>
          <w:p>
            <w:pPr>
              <w:pStyle w:val="Compact"/>
              <w:jc w:val="left"/>
            </w:pPr>
            <w:r>
              <w:t xml:space="preserve">Met</w:t>
            </w:r>
          </w:p>
        </w:tc>
        <w:tc>
          <w:tcPr/>
          <w:p>
            <w:pPr>
              <w:pStyle w:val="Compact"/>
              <w:jc w:val="left"/>
            </w:pPr>
            <w:r>
              <w:t xml:space="preserve">County additional-insured NOT required on this line per RFP</w:t>
            </w:r>
          </w:p>
        </w:tc>
      </w:tr>
      <w:tr>
        <w:tc>
          <w:tcPr/>
          <w:p>
            <w:pPr>
              <w:pStyle w:val="Compact"/>
              <w:jc w:val="left"/>
            </w:pPr>
            <w:r>
              <w:t xml:space="preserve">Pollution Liability</w:t>
            </w:r>
          </w:p>
        </w:tc>
        <w:tc>
          <w:tcPr/>
          <w:p>
            <w:pPr>
              <w:pStyle w:val="Compact"/>
              <w:jc w:val="left"/>
            </w:pPr>
            <w:r>
              <w:t xml:space="preserve">Not required by this RFP</w:t>
            </w:r>
          </w:p>
        </w:tc>
        <w:tc>
          <w:tcPr/>
          <w:p>
            <w:pPr>
              <w:pStyle w:val="Compact"/>
              <w:jc w:val="left"/>
            </w:pPr>
            <w:r>
              <w:t xml:space="preserve">N/A</w:t>
            </w:r>
          </w:p>
        </w:tc>
        <w:tc>
          <w:tcPr/>
          <w:p>
            <w:pPr>
              <w:pStyle w:val="Compact"/>
            </w:pPr>
          </w:p>
        </w:tc>
      </w:tr>
      <w:tr>
        <w:tc>
          <w:tcPr/>
          <w:p>
            <w:pPr>
              <w:pStyle w:val="Compact"/>
              <w:jc w:val="left"/>
            </w:pPr>
            <w:r>
              <w:t xml:space="preserve">Cyber Liability</w:t>
            </w:r>
          </w:p>
        </w:tc>
        <w:tc>
          <w:tcPr/>
          <w:p>
            <w:pPr>
              <w:pStyle w:val="Compact"/>
              <w:jc w:val="left"/>
            </w:pPr>
            <w:r>
              <w:t xml:space="preserve">Not required by this RFP</w:t>
            </w:r>
          </w:p>
        </w:tc>
        <w:tc>
          <w:tcPr/>
          <w:p>
            <w:pPr>
              <w:pStyle w:val="Compact"/>
              <w:jc w:val="left"/>
            </w:pPr>
            <w:r>
              <w:t xml:space="preserve">Carried separately by HIS</w:t>
            </w:r>
          </w:p>
        </w:tc>
        <w:tc>
          <w:tcPr/>
          <w:p>
            <w:pPr>
              <w:pStyle w:val="Compact"/>
              <w:jc w:val="left"/>
            </w:pPr>
            <w:r>
              <w:t xml:space="preserve">Provided as a value-add given the PHI custody nature of the work</w:t>
            </w:r>
          </w:p>
        </w:tc>
      </w:tr>
      <w:tr>
        <w:tc>
          <w:tcPr/>
          <w:p>
            <w:pPr>
              <w:pStyle w:val="Compact"/>
              <w:jc w:val="left"/>
            </w:pPr>
            <w:r>
              <w:t xml:space="preserve">Carrier AM Best Rating</w:t>
            </w:r>
          </w:p>
        </w:tc>
        <w:tc>
          <w:tcPr/>
          <w:p>
            <w:pPr>
              <w:pStyle w:val="Compact"/>
              <w:jc w:val="left"/>
            </w:pPr>
            <w:r>
              <w:t xml:space="preserve">A-VIII minimum</w:t>
            </w:r>
          </w:p>
        </w:tc>
        <w:tc>
          <w:tcPr/>
          <w:p>
            <w:pPr>
              <w:pStyle w:val="Compact"/>
              <w:jc w:val="left"/>
            </w:pPr>
            <w:r>
              <w:t xml:space="preserve">Met</w:t>
            </w:r>
          </w:p>
        </w:tc>
        <w:tc>
          <w:tcPr/>
          <w:p>
            <w:pPr>
              <w:pStyle w:val="Compact"/>
            </w:pPr>
          </w:p>
        </w:tc>
      </w:tr>
      <w:tr>
        <w:tc>
          <w:tcPr/>
          <w:p>
            <w:pPr>
              <w:pStyle w:val="Compact"/>
              <w:jc w:val="left"/>
            </w:pPr>
            <w:r>
              <w:t xml:space="preserve">Carrier Licensing</w:t>
            </w:r>
          </w:p>
        </w:tc>
        <w:tc>
          <w:tcPr/>
          <w:p>
            <w:pPr>
              <w:pStyle w:val="Compact"/>
              <w:jc w:val="left"/>
            </w:pPr>
            <w:r>
              <w:t xml:space="preserve">Licensed in the State of Kansas</w:t>
            </w:r>
          </w:p>
        </w:tc>
        <w:tc>
          <w:tcPr/>
          <w:p>
            <w:pPr>
              <w:pStyle w:val="Compact"/>
              <w:jc w:val="left"/>
            </w:pPr>
            <w:r>
              <w:t xml:space="preserve">Met</w:t>
            </w:r>
          </w:p>
        </w:tc>
        <w:tc>
          <w:tcPr/>
          <w:p>
            <w:pPr>
              <w:pStyle w:val="Compact"/>
              <w:jc w:val="left"/>
            </w:pPr>
            <w:r>
              <w:t xml:space="preserve">"Yes" confirmed on Response Form Page 1</w:t>
            </w:r>
          </w:p>
        </w:tc>
      </w:tr>
      <w:tr>
        <w:tc>
          <w:tcPr/>
          <w:p>
            <w:pPr>
              <w:pStyle w:val="Compact"/>
              <w:jc w:val="left"/>
            </w:pPr>
            <w:r>
              <w:t xml:space="preserve">Additional Insured</w:t>
            </w:r>
          </w:p>
        </w:tc>
        <w:tc>
          <w:tcPr/>
          <w:p>
            <w:pPr>
              <w:pStyle w:val="Compact"/>
              <w:jc w:val="left"/>
            </w:pPr>
            <w:r>
              <w:t xml:space="preserve">Sedgwick County named on GL and Auto (ongoing + completed operations); NOT required on Professional Liability, Workers' Comp, or Employer's Liability</w:t>
            </w:r>
          </w:p>
        </w:tc>
        <w:tc>
          <w:tcPr/>
          <w:p>
            <w:pPr>
              <w:pStyle w:val="Compact"/>
              <w:jc w:val="left"/>
            </w:pPr>
            <w:r>
              <w:t xml:space="preserve">Met</w:t>
            </w:r>
          </w:p>
        </w:tc>
        <w:tc>
          <w:tcPr/>
          <w:p>
            <w:pPr>
              <w:pStyle w:val="Compact"/>
            </w:pPr>
          </w:p>
        </w:tc>
      </w:tr>
      <w:tr>
        <w:tc>
          <w:tcPr/>
          <w:p>
            <w:pPr>
              <w:pStyle w:val="Compact"/>
              <w:jc w:val="left"/>
            </w:pPr>
            <w:r>
              <w:t xml:space="preserve">Notice of Cancellation / Change</w:t>
            </w:r>
          </w:p>
        </w:tc>
        <w:tc>
          <w:tcPr/>
          <w:p>
            <w:pPr>
              <w:pStyle w:val="Compact"/>
              <w:jc w:val="left"/>
            </w:pPr>
            <w:r>
              <w:t xml:space="preserve">30-day prior written notice to County for any cancellation, reduction, or material modification</w:t>
            </w:r>
          </w:p>
        </w:tc>
        <w:tc>
          <w:tcPr/>
          <w:p>
            <w:pPr>
              <w:pStyle w:val="Compact"/>
              <w:jc w:val="left"/>
            </w:pPr>
            <w:r>
              <w:t xml:space="preserve">Met</w:t>
            </w:r>
          </w:p>
        </w:tc>
        <w:tc>
          <w:tcPr/>
          <w:p>
            <w:pPr>
              <w:pStyle w:val="Compact"/>
            </w:pPr>
          </w:p>
        </w:tc>
      </w:tr>
      <w:tr>
        <w:tc>
          <w:tcPr/>
          <w:p>
            <w:pPr>
              <w:pStyle w:val="Compact"/>
              <w:jc w:val="left"/>
            </w:pPr>
            <w:r>
              <w:t xml:space="preserve">Subcontractor Coverage</w:t>
            </w:r>
          </w:p>
        </w:tc>
        <w:tc>
          <w:tcPr/>
          <w:p>
            <w:pPr>
              <w:pStyle w:val="Compact"/>
              <w:jc w:val="left"/>
            </w:pPr>
            <w:r>
              <w:t xml:space="preserve">HIS responsible for ensuring all named subcontractors carry equivalent minimums</w:t>
            </w:r>
          </w:p>
        </w:tc>
        <w:tc>
          <w:tcPr/>
          <w:p>
            <w:pPr>
              <w:pStyle w:val="Compact"/>
              <w:jc w:val="left"/>
            </w:pPr>
            <w:r>
              <w:t xml:space="preserve">Met</w:t>
            </w:r>
          </w:p>
        </w:tc>
        <w:tc>
          <w:tcPr/>
          <w:p>
            <w:pPr>
              <w:pStyle w:val="Compact"/>
              <w:jc w:val="left"/>
            </w:pPr>
            <w:r>
              <w:t xml:space="preserve">Each subcontractor maintains its own coverage; HIS holds COIs on file and provides on request</w:t>
            </w:r>
          </w:p>
        </w:tc>
      </w:tr>
    </w:tbl>
    <w:p>
      <w:pPr>
        <w:pStyle w:val="BodyText"/>
      </w:pPr>
      <w:r>
        <w:rPr>
          <w:b/>
          <w:bCs/>
        </w:rPr>
        <w:t xml:space="preserve">Bonding.</w:t>
      </w:r>
      <w:r>
        <w:t xml:space="preserve"> </w:t>
      </w:r>
      <w:r>
        <w:t xml:space="preserve">If the County requires performance or payment bonding, HIS is prepared to provide bonding through an established surety relationship at the levels specified in the contract.</w:t>
      </w:r>
    </w:p>
    <w:bookmarkEnd w:id="92"/>
    <w:bookmarkStart w:id="93" w:name="Xc305370d1eebbe5fde1d176e564bade82d724af"/>
    <w:p>
      <w:pPr>
        <w:pStyle w:val="Heading2"/>
      </w:pPr>
      <w:r>
        <w:t xml:space="preserve">11.3 Conflict of interest disclosure</w:t>
      </w:r>
    </w:p>
    <w:p>
      <w:pPr>
        <w:pStyle w:val="FirstParagraph"/>
      </w:pPr>
      <w:r>
        <w:t xml:space="preserve">Pursuant to the RFP's requirement for disclosure of any personal or financial interest — or any actual or perceived conflict of interest — between any member of the proposing team and the Sedgwick County Board of County Commissioners, the County Manager's office, the Department of Risk Management, the Department of Human Resources, the Purchasing Department, or any other Sedgwick County department:</w:t>
      </w:r>
    </w:p>
    <w:p>
      <w:pPr>
        <w:pStyle w:val="BodyText"/>
      </w:pPr>
      <w:r>
        <w:rPr>
          <w:b/>
          <w:bCs/>
        </w:rPr>
        <w:t xml:space="preserve">None known to the proposing team at the time of this submission.</w:t>
      </w:r>
    </w:p>
    <w:p>
      <w:pPr>
        <w:pStyle w:val="BodyText"/>
      </w:pPr>
      <w:r>
        <w:t xml:space="preserve">Hargrave Innovative Solutions and each named subcontractor (Love Clinic &amp; Med Spa, LLC, Vanntastic Solutions, The COLLABORATIVE Advocate Foundation) certify that, to the best of their knowledge, no principal, officer, or employee of any team member holds any financial, employment, family, or other relationship with any Sedgwick County Commissioner, County Manager, department head, or member of the evaluation committee that would constitute or appear to constitute a conflict of interest. The team further certifies it has not offered, given, or promised any gift, gratuity, fee, commission, or thing of value to any County employee or official in connection with this solicitation, and will not do so during the procurement process.</w:t>
      </w:r>
    </w:p>
    <w:p>
      <w:pPr>
        <w:pStyle w:val="BodyText"/>
      </w:pPr>
      <w:r>
        <w:t xml:space="preserve">In the event any actual or potential conflict arises during the procurement or contract period, the proposing team will disclose it in writing to the Sedgwick County Purchasing Department within 5 business days of becoming aware of it.</w:t>
      </w:r>
    </w:p>
    <w:p>
      <w:pPr>
        <w:pStyle w:val="BodyText"/>
      </w:pPr>
      <w:r>
        <w:rPr>
          <w:b/>
          <w:bCs/>
        </w:rPr>
        <w:t xml:space="preserve">Clinical / coaching relationship disclosure (for completeness, not as a claimed COI):</w:t>
      </w:r>
      <w:r>
        <w:t xml:space="preserve"> </w:t>
      </w:r>
      <w:r>
        <w:t xml:space="preserve">Dr. Chela Love operates a clinical practice in Wichita (Love Clinic &amp; Med Spa, LLC) and Dr. J. Michelle Vann operates a Wichita-based wellness coaching practice (Vanntastic Solutions). It is therefore possible that one or more current or former Sedgwick County employees or dependents are now, or have previously been, clinical patients of Dr. Love or coaching clients of Dr. Vann through their respective private practices. A clinician–patient or coach–client relationship with a County employee is not, under any standard procurement definition, a conflict of interest in a self-insured-employer health procurement. The proposing team discloses it here in the interest of full transparency. Should any such relationship exist with a member of the Sedgwick County Board of County Commissioners, the County Manager's office, the Department of Human Resources, Risk Management, Purchasing, or the RFP #26-0028 evaluation committee specifically, the affected partner will provide written disclosure to the Purchasing Department prior to contract award.</w:t>
      </w:r>
    </w:p>
    <w:bookmarkEnd w:id="93"/>
    <w:bookmarkStart w:id="94" w:name="X538d8fdd878bc81f01034e22d94133d8d76a41f"/>
    <w:p>
      <w:pPr>
        <w:pStyle w:val="Heading2"/>
      </w:pPr>
      <w:r>
        <w:t xml:space="preserve">11.4 Contract period acceptance</w:t>
      </w:r>
    </w:p>
    <w:p>
      <w:pPr>
        <w:pStyle w:val="FirstParagraph"/>
      </w:pPr>
      <w:r>
        <w:t xml:space="preserve">The proposing team accepts the contract period as stated in the RFP: a three-year initial term commencing</w:t>
      </w:r>
      <w:r>
        <w:t xml:space="preserve"> </w:t>
      </w:r>
      <w:r>
        <w:rPr>
          <w:b/>
          <w:bCs/>
        </w:rPr>
        <w:t xml:space="preserve">January 1, 2027 and ending December 31, 2029</w:t>
      </w:r>
      <w:r>
        <w:t xml:space="preserve">, with</w:t>
      </w:r>
      <w:r>
        <w:t xml:space="preserve"> </w:t>
      </w:r>
      <w:r>
        <w:rPr>
          <w:b/>
          <w:bCs/>
        </w:rPr>
        <w:t xml:space="preserve">two (2) one-year renewal options exercisable at the County's sole discretion</w:t>
      </w:r>
      <w:r>
        <w:t xml:space="preserve">. Pricing as proposed in Section 8 holds for the initial three-year term with a maximum CPI-Medical adjustment of 3.5% per year in Years 2 and 3 (capped). Renewal-year pricing will be negotiated in good faith no later than 120 days before the end of the then-current term.</w:t>
      </w:r>
    </w:p>
    <w:bookmarkEnd w:id="94"/>
    <w:bookmarkStart w:id="95" w:name="Xfba4d5500d7de838f85b2a18474862a151151e3"/>
    <w:p>
      <w:pPr>
        <w:pStyle w:val="Heading2"/>
      </w:pPr>
      <w:r>
        <w:t xml:space="preserve">11.5 Indemnification</w:t>
      </w:r>
    </w:p>
    <w:p>
      <w:pPr>
        <w:pStyle w:val="FirstParagraph"/>
      </w:pPr>
      <w:r>
        <w:t xml:space="preserve">The proposing team accepts the County's standard indemnification provisions. Love Clinic &amp; Med Spa, LLC, as Prime Contractor, will indemnify, defend, and hold harmless Sedgwick County, its officials, officers, employees, and agents from and against any and all claims, demands, suits, losses, costs, damages, and expenses (including reasonable attorneys' fees) arising out of or related to (a) the negligent acts or omissions of the Prime or any of its subcontractors, (b) any breach of HIPAA or the Business Associate Agreement caused by the Prime or any of its subcontractors, (c) any infringement of intellectual property rights by any deliverable provided by the Prime or its subcontractors, or (d) any failure by the Prime to comply with applicable law in the performance of the contract. Specific limits, carve-outs, and procedural terms are negotiable at contract.</w:t>
      </w:r>
    </w:p>
    <w:bookmarkEnd w:id="95"/>
    <w:bookmarkStart w:id="96" w:name="X6dac87588021d63ee5725a0ce958b79e60b80ca"/>
    <w:p>
      <w:pPr>
        <w:pStyle w:val="Heading2"/>
      </w:pPr>
      <w:r>
        <w:t xml:space="preserve">11.6 Data ownership and portability</w:t>
      </w:r>
    </w:p>
    <w:p>
      <w:pPr>
        <w:pStyle w:val="FirstParagraph"/>
      </w:pPr>
      <w:r>
        <w:t xml:space="preserve">All Protected Health Information, individually identifiable health information, and member-generated data created or maintained under this contract is and remains the property of the individual member (under HIPAA) and, in aggregate or where applicable, of Sedgwick County. Vitality does not claim ownership of any County or member data. Upon contract termination for any reason:</w:t>
      </w:r>
    </w:p>
    <w:p>
      <w:pPr>
        <w:pStyle w:val="Compact"/>
        <w:numPr>
          <w:ilvl w:val="0"/>
          <w:numId w:val="1042"/>
        </w:numPr>
      </w:pPr>
      <w:r>
        <w:t xml:space="preserve">All de-identified aggregate County data is delivered to the County in a non-proprietary, machine-readable format (CSV, JSON, or PDF as appropriate) at no additional charge within 30 days</w:t>
      </w:r>
    </w:p>
    <w:p>
      <w:pPr>
        <w:pStyle w:val="Compact"/>
        <w:numPr>
          <w:ilvl w:val="0"/>
          <w:numId w:val="1042"/>
        </w:numPr>
      </w:pPr>
      <w:r>
        <w:t xml:space="preserve">All individual member data remains exportable by each member via the platform's member self-service export</w:t>
      </w:r>
    </w:p>
    <w:p>
      <w:pPr>
        <w:pStyle w:val="Compact"/>
        <w:numPr>
          <w:ilvl w:val="0"/>
          <w:numId w:val="1042"/>
        </w:numPr>
      </w:pPr>
      <w:r>
        <w:t xml:space="preserve">Vitality retains only the records required for ongoing HIPAA, audit, and legal-hold compliance, in each case subject to the retention periods required by law and the BAA</w:t>
      </w:r>
    </w:p>
    <w:p>
      <w:pPr>
        <w:pStyle w:val="Compact"/>
        <w:numPr>
          <w:ilvl w:val="0"/>
          <w:numId w:val="1042"/>
        </w:numPr>
      </w:pPr>
      <w:r>
        <w:t xml:space="preserve">No data is used by Vitality for any purpose outside the scope of the contract, and no data is sold, licensed, or shared with any third party except as required to deliver the contracted services or as required by law</w:t>
      </w:r>
    </w:p>
    <w:bookmarkEnd w:id="96"/>
    <w:bookmarkStart w:id="98" w:name="X46ac3b5c4c294654755ab323ae528ad719dea6b"/>
    <w:p>
      <w:pPr>
        <w:pStyle w:val="Heading2"/>
      </w:pPr>
      <w:r>
        <w:t xml:space="preserve">11.7 Sedgwick County procurement compliance</w:t>
      </w:r>
    </w:p>
    <w:p>
      <w:pPr>
        <w:pStyle w:val="FirstParagraph"/>
      </w:pPr>
      <w:r>
        <w:t xml:space="preserve">All communication regarding RFP #26-0028 is directed exclusively through the Sedgwick County Purchasing Department (Tammy Culley, Purchasing Agent · 100 N. Broadway, Suite 610, Wichita, KS 67202 ·</w:t>
      </w:r>
      <w:r>
        <w:t xml:space="preserve"> </w:t>
      </w:r>
      <w:hyperlink r:id="rId97">
        <w:r>
          <w:rPr>
            <w:rStyle w:val="Hyperlink"/>
            <w:b/>
            <w:bCs/>
          </w:rPr>
          <w:t xml:space="preserve">Purchasing@sedgwick.gov</w:t>
        </w:r>
      </w:hyperlink>
      <w:r>
        <w:t xml:space="preserve">). The Vitality team will not contact County employees, department heads, evaluation committee members, or elected officials regarding this solicitation outside of Purchasing-mediated channels. If awarded, the Vitality team is prepared to execute the County's standard contract template, including all standard termination, audit, indemnification, and dispute-resolution provisions.</w:t>
      </w:r>
    </w:p>
    <w:bookmarkEnd w:id="98"/>
    <w:bookmarkStart w:id="99" w:name="Xac013179edebdd6abba52ce709a5be0ec7298f1"/>
    <w:p>
      <w:pPr>
        <w:pStyle w:val="Heading2"/>
      </w:pPr>
      <w:r>
        <w:t xml:space="preserve">11.8 Kansas Open Records Act (KORA) acknowledgment</w:t>
      </w:r>
    </w:p>
    <w:p>
      <w:pPr>
        <w:pStyle w:val="FirstParagraph"/>
      </w:pPr>
      <w:r>
        <w:t xml:space="preserve">The proposing team acknowledges that under the Kansas Open Records Act (KSA 45-215 et seq.), portions and potentially all of this proposal may become public record subject to disclosure. Any material the proposing team considers proprietary, confidential, or otherwise exempt from KORA disclosure is identified in the</w:t>
      </w:r>
      <w:r>
        <w:t xml:space="preserve"> </w:t>
      </w:r>
      <w:r>
        <w:rPr>
          <w:b/>
          <w:bCs/>
        </w:rPr>
        <w:t xml:space="preserve">KORA Privilege Log in Appendix H</w:t>
      </w:r>
      <w:r>
        <w:t xml:space="preserve">, with specific statutory citation and rationale. The proposing team understands that the County is the ultimate arbiter of KORA disclosure decisions and that any KORA exemption not specifically claimed in the Privilege Log is waived.</w:t>
      </w:r>
    </w:p>
    <w:p>
      <w:r>
        <w:pict>
          <v:rect style="width:0;height:1.5pt" o:hralign="center" o:hrstd="t" o:hr="t"/>
        </w:pict>
      </w:r>
    </w:p>
    <w:bookmarkEnd w:id="99"/>
    <w:bookmarkEnd w:id="100"/>
    <w:bookmarkStart w:id="121" w:name="section-12--appendices"/>
    <w:p>
      <w:pPr>
        <w:pStyle w:val="Heading1"/>
      </w:pPr>
      <w:r>
        <w:t xml:space="preserve">Section 12 — Appendices</w:t>
      </w:r>
    </w:p>
    <w:bookmarkStart w:id="108" w:name="X4d6e8621a3c680d6892efff0ed5fec79ba63c8c"/>
    <w:p>
      <w:pPr>
        <w:pStyle w:val="Heading2"/>
      </w:pPr>
      <w:r>
        <w:t xml:space="preserve">Appendix A — Strategic Analysis of RFP #26-0028 Addendum #2</w:t>
      </w:r>
    </w:p>
    <w:p>
      <w:pPr>
        <w:pStyle w:val="FirstParagraph"/>
      </w:pPr>
      <w:r>
        <w:t xml:space="preserve">This appendix documents the strategic conclusions the Vitality proposal team drew from Addendum #2, issued May 22, 2026 by Tammy Culley, Purchasing Agent. It is preserved here as a discrete artifact for the evaluation committee's reference.</w:t>
      </w:r>
    </w:p>
    <w:bookmarkStart w:id="101" w:name="a1-the-glp-1-number-is-the-entire-story"/>
    <w:p>
      <w:pPr>
        <w:pStyle w:val="Heading3"/>
      </w:pPr>
      <w:r>
        <w:t xml:space="preserve">A.1 The GLP-1 number is the entire story</w:t>
      </w:r>
    </w:p>
    <w:p>
      <w:pPr>
        <w:pStyle w:val="FirstParagraph"/>
      </w:pPr>
      <w:r>
        <w:t xml:space="preserve">Addendum #2 disclosed three numbers that, together, reframe the entire proposal:</w:t>
      </w:r>
    </w:p>
    <w:p>
      <w:pPr>
        <w:pStyle w:val="Compact"/>
        <w:numPr>
          <w:ilvl w:val="0"/>
          <w:numId w:val="1043"/>
        </w:numPr>
      </w:pPr>
      <w:r>
        <w:t xml:space="preserve">373 members are currently on GLP-1 medications through the County's medical plan</w:t>
      </w:r>
    </w:p>
    <w:p>
      <w:pPr>
        <w:pStyle w:val="Compact"/>
        <w:numPr>
          <w:ilvl w:val="0"/>
          <w:numId w:val="1043"/>
        </w:numPr>
      </w:pPr>
      <w:r>
        <w:t xml:space="preserve">705 members used a GLP-1 in the past 12 months</w:t>
      </w:r>
    </w:p>
    <w:p>
      <w:pPr>
        <w:pStyle w:val="Compact"/>
        <w:numPr>
          <w:ilvl w:val="0"/>
          <w:numId w:val="1043"/>
        </w:numPr>
      </w:pPr>
      <w:r>
        <w:t xml:space="preserve">The County's only current GLP-1 cost-containment tool is OptumRx prior authorization</w:t>
      </w:r>
    </w:p>
    <w:p>
      <w:pPr>
        <w:pStyle w:val="FirstParagraph"/>
      </w:pPr>
      <w:r>
        <w:t xml:space="preserve">Three observations follow:</w:t>
      </w:r>
    </w:p>
    <w:p>
      <w:pPr>
        <w:pStyle w:val="BodyText"/>
      </w:pPr>
      <w:r>
        <w:rPr>
          <w:b/>
          <w:bCs/>
        </w:rPr>
        <w:t xml:space="preserve">(a) The County is already spending heavily on GLP-1 medications.</w:t>
      </w:r>
      <w:r>
        <w:t xml:space="preserve"> </w:t>
      </w:r>
      <w:r>
        <w:t xml:space="preserve">At the conservative unmanaged rate of $13,800/patient/year (RAND 2023), 373 current members represent approximately $5.15M per year in GLP-1 pharmacy spend with zero clinical wraparound.</w:t>
      </w:r>
    </w:p>
    <w:p>
      <w:pPr>
        <w:pStyle w:val="BodyText"/>
      </w:pPr>
      <w:r>
        <w:rPr>
          <w:b/>
          <w:bCs/>
        </w:rPr>
        <w:t xml:space="preserve">(b) The ~47% twelve-month non-continuation rate is the diagnostic signal.</w:t>
      </w:r>
      <w:r>
        <w:t xml:space="preserve"> </w:t>
      </w:r>
      <w:r>
        <w:t xml:space="preserve">705 members used a GLP-1 in the past twelve months but only 373 are on therapy today — a ~47% non-continuation rate that sits within the published unmanaged-GLP-1 range of 30–50% (Gleason et al., JAMA Network Open 2024; AHIP real-world adherence analysis 2023). We label this conservatively as "non-continuation" rather than pure discontinuation because the County figure may include planned course completions, approved-but-never-filled PAs, within-class switches, and recent starters still in titration.</w:t>
      </w:r>
    </w:p>
    <w:p>
      <w:pPr>
        <w:pStyle w:val="BodyText"/>
      </w:pPr>
      <w:r>
        <w:rPr>
          <w:b/>
          <w:bCs/>
        </w:rPr>
        <w:t xml:space="preserve">(c) The modeled Year-1 capture opportunity is approximately $2.09M.</w:t>
      </w:r>
      <w:r>
        <w:t xml:space="preserve"> </w:t>
      </w:r>
      <w:r>
        <w:t xml:space="preserve">At RAND's conservative $5,600-per-patient differential between unmanaged and managed GLP-1 therapy, migrating the 373 current users represents approximately $2.09M in addressable annual spend — nearly funding the entire $1.71M Year-1 program cost. Vitality converts this model into a commitment via the at-risk pricing structure in Section 8.5.</w:t>
      </w:r>
    </w:p>
    <w:bookmarkEnd w:id="101"/>
    <w:bookmarkStart w:id="102" w:name="X0a9f01613d1f650ff1b23a101e3a5fc1a3e08fb"/>
    <w:p>
      <w:pPr>
        <w:pStyle w:val="Heading3"/>
      </w:pPr>
      <w:r>
        <w:t xml:space="preserve">A.2 The County has named its own incumbent strategy as insufficient</w:t>
      </w:r>
    </w:p>
    <w:p>
      <w:pPr>
        <w:pStyle w:val="FirstParagraph"/>
      </w:pPr>
      <w:r>
        <w:t xml:space="preserve">The Addendum states verbatim: "Current cost containment is tied to prior authorization program with PBM." The ~47% twelve-month non-continuation rate demonstrates that prior authorization alone is not converting pharmacy spend into sustained outcomes. The Addendum further clarifies the County's preference: "A broader support-focused program centered around outcomes, health coaching participation, and sustainable lifestyle changes." The County explicitly rejected a compliance-focused program.</w:t>
      </w:r>
    </w:p>
    <w:bookmarkEnd w:id="102"/>
    <w:bookmarkStart w:id="103" w:name="X058a80af00d6cb1215ad8e5674b9f1f7f98004a"/>
    <w:p>
      <w:pPr>
        <w:pStyle w:val="Heading3"/>
      </w:pPr>
      <w:r>
        <w:t xml:space="preserve">A.3 The County is buying program design, not administration</w:t>
      </w:r>
    </w:p>
    <w:p>
      <w:pPr>
        <w:pStyle w:val="FirstParagraph"/>
      </w:pPr>
      <w:r>
        <w:t xml:space="preserve">The Addendum confirms: "Recommend and design a comprehensive solution." The Addendum also confirms that either clinical model is acceptable: prescribing physicians on the vendor's staff OR NBHWC-credentialed coaches supporting members' own prescribers. Vitality offers both within a single integrated program — Dr. Love as the in-program prescribing lead, Dr. Vann's coaching model for members who stay with their existing PCP.</w:t>
      </w:r>
    </w:p>
    <w:bookmarkEnd w:id="103"/>
    <w:bookmarkStart w:id="104" w:name="Xc0c0b4cd80f9103a87a5b9ac74cb5962f0ca45e"/>
    <w:p>
      <w:pPr>
        <w:pStyle w:val="Heading3"/>
      </w:pPr>
      <w:r>
        <w:t xml:space="preserve">A.4 The eligible population is materially larger than typical estimates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County figure</w:t>
            </w:r>
          </w:p>
        </w:tc>
      </w:tr>
      <w:tr>
        <w:tc>
          <w:tcPr/>
          <w:p>
            <w:pPr>
              <w:pStyle w:val="Compact"/>
              <w:jc w:val="left"/>
            </w:pPr>
            <w:r>
              <w:t xml:space="preserve">Total members enrolled (all ages)</w:t>
            </w:r>
          </w:p>
        </w:tc>
        <w:tc>
          <w:tcPr/>
          <w:p>
            <w:pPr>
              <w:pStyle w:val="Compact"/>
              <w:jc w:val="left"/>
            </w:pPr>
            <w:r>
              <w:t xml:space="preserve">5,871</w:t>
            </w:r>
          </w:p>
        </w:tc>
      </w:tr>
      <w:tr>
        <w:tc>
          <w:tcPr/>
          <w:p>
            <w:pPr>
              <w:pStyle w:val="Compact"/>
              <w:jc w:val="left"/>
            </w:pPr>
            <w:r>
              <w:t xml:space="preserve">Eligible adults (EE + dependents 18+)</w:t>
            </w:r>
          </w:p>
        </w:tc>
        <w:tc>
          <w:tcPr/>
          <w:p>
            <w:pPr>
              <w:pStyle w:val="Compact"/>
              <w:jc w:val="left"/>
            </w:pPr>
            <w:r>
              <w:t xml:space="preserve">4,213</w:t>
            </w:r>
          </w:p>
        </w:tc>
      </w:tr>
      <w:tr>
        <w:tc>
          <w:tcPr/>
          <w:p>
            <w:pPr>
              <w:pStyle w:val="Compact"/>
              <w:jc w:val="left"/>
            </w:pPr>
            <w:r>
              <w:t xml:space="preserve">Female share</w:t>
            </w:r>
          </w:p>
        </w:tc>
        <w:tc>
          <w:tcPr/>
          <w:p>
            <w:pPr>
              <w:pStyle w:val="Compact"/>
              <w:jc w:val="left"/>
            </w:pPr>
            <w:r>
              <w:t xml:space="preserve">53%</w:t>
            </w:r>
          </w:p>
        </w:tc>
      </w:tr>
      <w:tr>
        <w:tc>
          <w:tcPr/>
          <w:p>
            <w:pPr>
              <w:pStyle w:val="Compact"/>
              <w:jc w:val="left"/>
            </w:pPr>
            <w:r>
              <w:t xml:space="preserve">Currently on GLP-1</w:t>
            </w:r>
          </w:p>
        </w:tc>
        <w:tc>
          <w:tcPr/>
          <w:p>
            <w:pPr>
              <w:pStyle w:val="Compact"/>
              <w:jc w:val="left"/>
            </w:pPr>
            <w:r>
              <w:t xml:space="preserve">373 (6.3% of enrolled)</w:t>
            </w:r>
          </w:p>
        </w:tc>
      </w:tr>
      <w:tr>
        <w:tc>
          <w:tcPr/>
          <w:p>
            <w:pPr>
              <w:pStyle w:val="Compact"/>
              <w:jc w:val="left"/>
            </w:pPr>
            <w:r>
              <w:t xml:space="preserve">Past-year GLP-1 users</w:t>
            </w:r>
          </w:p>
        </w:tc>
        <w:tc>
          <w:tcPr/>
          <w:p>
            <w:pPr>
              <w:pStyle w:val="Compact"/>
              <w:jc w:val="left"/>
            </w:pPr>
            <w:r>
              <w:t xml:space="preserve">705 (12.0% of enrolled)</w:t>
            </w:r>
          </w:p>
        </w:tc>
      </w:tr>
      <w:tr>
        <w:tc>
          <w:tcPr/>
          <w:p>
            <w:pPr>
              <w:pStyle w:val="Compact"/>
              <w:jc w:val="left"/>
            </w:pPr>
            <w:r>
              <w:t xml:space="preserve">BMI ≥ 30 count</w:t>
            </w:r>
          </w:p>
        </w:tc>
        <w:tc>
          <w:tcPr/>
          <w:p>
            <w:pPr>
              <w:pStyle w:val="Compact"/>
              <w:jc w:val="left"/>
            </w:pPr>
            <w:r>
              <w:t xml:space="preserve">Unavailable from carrier</w:t>
            </w:r>
          </w:p>
        </w:tc>
      </w:tr>
      <w:tr>
        <w:tc>
          <w:tcPr/>
          <w:p>
            <w:pPr>
              <w:pStyle w:val="Compact"/>
              <w:jc w:val="left"/>
            </w:pPr>
            <w:r>
              <w:t xml:space="preserve">Modeled at-risk adults (CDC 36.2%)</w:t>
            </w:r>
          </w:p>
        </w:tc>
        <w:tc>
          <w:tcPr/>
          <w:p>
            <w:pPr>
              <w:pStyle w:val="Compact"/>
              <w:jc w:val="left"/>
            </w:pPr>
            <w:r>
              <w:t xml:space="preserve">~1,525</w:t>
            </w:r>
          </w:p>
        </w:tc>
      </w:tr>
      <w:tr>
        <w:tc>
          <w:tcPr/>
          <w:p>
            <w:pPr>
              <w:pStyle w:val="Compact"/>
              <w:jc w:val="left"/>
            </w:pPr>
            <w:r>
              <w:t xml:space="preserve">Target Vitality enrollment</w:t>
            </w:r>
          </w:p>
        </w:tc>
        <w:tc>
          <w:tcPr/>
          <w:p>
            <w:pPr>
              <w:pStyle w:val="Compact"/>
              <w:jc w:val="left"/>
            </w:pPr>
            <w:r>
              <w:t xml:space="preserve">534 (35%)</w:t>
            </w:r>
          </w:p>
        </w:tc>
      </w:tr>
      <w:tr>
        <w:tc>
          <w:tcPr/>
          <w:p>
            <w:pPr>
              <w:pStyle w:val="Compact"/>
              <w:jc w:val="left"/>
            </w:pPr>
            <w:r>
              <w:t xml:space="preserve">Year-1 program cost (lifestyle baseline)</w:t>
            </w:r>
          </w:p>
        </w:tc>
        <w:tc>
          <w:tcPr/>
          <w:p>
            <w:pPr>
              <w:pStyle w:val="Compact"/>
              <w:jc w:val="left"/>
            </w:pPr>
            <w:r>
              <w:t xml:space="preserve">~$1.71M</w:t>
            </w:r>
          </w:p>
        </w:tc>
      </w:tr>
      <w:tr>
        <w:tc>
          <w:tcPr/>
          <w:p>
            <w:pPr>
              <w:pStyle w:val="Compact"/>
              <w:jc w:val="left"/>
            </w:pPr>
            <w:r>
              <w:t xml:space="preserve">Status-quo annual cost of at-risk cohort</w:t>
            </w:r>
          </w:p>
        </w:tc>
        <w:tc>
          <w:tcPr/>
          <w:p>
            <w:pPr>
              <w:pStyle w:val="Compact"/>
              <w:jc w:val="left"/>
            </w:pPr>
            <w:r>
              <w:t xml:space="preserve">~$4.02M/yr</w:t>
            </w:r>
          </w:p>
        </w:tc>
      </w:tr>
    </w:tbl>
    <w:p>
      <w:pPr>
        <w:pStyle w:val="BodyText"/>
      </w:pPr>
      <w:r>
        <w:t xml:space="preserve">The Addendum's disclosure that "BMI ≥ 30 count: information unavailable through carrier" is significant. Any vendor claiming precise BMI-distribution-based outcome forecasts is bluffing — the source data does not exist within the carrier's reporting. Vitality's CDC PLACES anchored modeling is the only defensible approach.</w:t>
      </w:r>
    </w:p>
    <w:bookmarkEnd w:id="104"/>
    <w:bookmarkStart w:id="105" w:name="Xffebb1594e6ce342de73cfb3dfc109233b7e7c4"/>
    <w:p>
      <w:pPr>
        <w:pStyle w:val="Heading3"/>
      </w:pPr>
      <w:r>
        <w:t xml:space="preserve">A.5 The competitive landscape, fully visible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Confirmed in Addendum #2</w:t>
            </w:r>
          </w:p>
        </w:tc>
        <w:tc>
          <w:tcPr/>
          <w:p>
            <w:pPr>
              <w:pStyle w:val="Compact"/>
              <w:jc w:val="left"/>
            </w:pPr>
            <w:r>
              <w:t xml:space="preserve">Strategic implication</w:t>
            </w:r>
          </w:p>
        </w:tc>
      </w:tr>
      <w:tr>
        <w:tc>
          <w:tcPr/>
          <w:p>
            <w:pPr>
              <w:pStyle w:val="Compact"/>
              <w:jc w:val="left"/>
            </w:pPr>
            <w:r>
              <w:t xml:space="preserve">No incumbent weight-management vendor</w:t>
            </w:r>
          </w:p>
        </w:tc>
        <w:tc>
          <w:tcPr/>
          <w:p>
            <w:pPr>
              <w:pStyle w:val="Compact"/>
              <w:jc w:val="left"/>
            </w:pPr>
            <w:r>
              <w:t xml:space="preserve">True greenfield; no displacement story</w:t>
            </w:r>
          </w:p>
        </w:tc>
      </w:tr>
      <w:tr>
        <w:tc>
          <w:tcPr/>
          <w:p>
            <w:pPr>
              <w:pStyle w:val="Compact"/>
              <w:jc w:val="left"/>
            </w:pPr>
            <w:r>
              <w:t xml:space="preserve">Broker: IMA</w:t>
            </w:r>
          </w:p>
        </w:tc>
        <w:tc>
          <w:tcPr/>
          <w:p>
            <w:pPr>
              <w:pStyle w:val="Compact"/>
              <w:jc w:val="left"/>
            </w:pPr>
            <w:r>
              <w:t xml:space="preserve">IMA will be present at evaluation; partner, not gatekeeper</w:t>
            </w:r>
          </w:p>
        </w:tc>
      </w:tr>
      <w:tr>
        <w:tc>
          <w:tcPr/>
          <w:p>
            <w:pPr>
              <w:pStyle w:val="Compact"/>
              <w:jc w:val="left"/>
            </w:pPr>
            <w:r>
              <w:t xml:space="preserve">Wellness incumbent: Rally (via UHC)</w:t>
            </w:r>
          </w:p>
        </w:tc>
        <w:tc>
          <w:tcPr/>
          <w:p>
            <w:pPr>
              <w:pStyle w:val="Compact"/>
              <w:jc w:val="left"/>
            </w:pPr>
            <w:r>
              <w:t xml:space="preserve">We coexist; we do not replace</w:t>
            </w:r>
          </w:p>
        </w:tc>
      </w:tr>
      <w:tr>
        <w:tc>
          <w:tcPr/>
          <w:p>
            <w:pPr>
              <w:pStyle w:val="Compact"/>
              <w:jc w:val="left"/>
            </w:pPr>
            <w:r>
              <w:t xml:space="preserve">TPA: UnitedHealthcare (Group #902769)</w:t>
            </w:r>
          </w:p>
        </w:tc>
        <w:tc>
          <w:tcPr/>
          <w:p>
            <w:pPr>
              <w:pStyle w:val="Compact"/>
              <w:jc w:val="left"/>
            </w:pPr>
            <w:r>
              <w:t xml:space="preserve">Known integration surfaces; low risk</w:t>
            </w:r>
          </w:p>
        </w:tc>
      </w:tr>
      <w:tr>
        <w:tc>
          <w:tcPr/>
          <w:p>
            <w:pPr>
              <w:pStyle w:val="Compact"/>
              <w:jc w:val="left"/>
            </w:pPr>
            <w:r>
              <w:t xml:space="preserve">PBM: OptumRx</w:t>
            </w:r>
          </w:p>
        </w:tc>
        <w:tc>
          <w:tcPr/>
          <w:p>
            <w:pPr>
              <w:pStyle w:val="Compact"/>
              <w:jc w:val="left"/>
            </w:pPr>
            <w:r>
              <w:t xml:space="preserve">Standard pharmacy feeds available</w:t>
            </w:r>
          </w:p>
        </w:tc>
      </w:tr>
      <w:tr>
        <w:tc>
          <w:tcPr/>
          <w:p>
            <w:pPr>
              <w:pStyle w:val="Compact"/>
              <w:jc w:val="left"/>
            </w:pPr>
            <w:r>
              <w:t xml:space="preserve">No fixed budget; "focused on cost savings"</w:t>
            </w:r>
          </w:p>
        </w:tc>
        <w:tc>
          <w:tcPr/>
          <w:p>
            <w:pPr>
              <w:pStyle w:val="Compact"/>
              <w:jc w:val="left"/>
            </w:pPr>
            <w:r>
              <w:t xml:space="preserve">Value-based pitch wins</w:t>
            </w:r>
          </w:p>
        </w:tc>
      </w:tr>
      <w:tr>
        <w:tc>
          <w:tcPr/>
          <w:p>
            <w:pPr>
              <w:pStyle w:val="Compact"/>
              <w:jc w:val="left"/>
            </w:pPr>
            <w:r>
              <w:t xml:space="preserve">Virtual only</w:t>
            </w:r>
          </w:p>
        </w:tc>
        <w:tc>
          <w:tcPr/>
          <w:p>
            <w:pPr>
              <w:pStyle w:val="Compact"/>
              <w:jc w:val="left"/>
            </w:pPr>
            <w:r>
              <w:t xml:space="preserve">PWA-native; competitors with onsite are overspending</w:t>
            </w:r>
          </w:p>
        </w:tc>
      </w:tr>
      <w:tr>
        <w:tc>
          <w:tcPr/>
          <w:p>
            <w:pPr>
              <w:pStyle w:val="Compact"/>
              <w:jc w:val="left"/>
            </w:pPr>
            <w:r>
              <w:t xml:space="preserve">Adults 18+</w:t>
            </w:r>
          </w:p>
        </w:tc>
        <w:tc>
          <w:tcPr/>
          <w:p>
            <w:pPr>
              <w:pStyle w:val="Compact"/>
              <w:jc w:val="left"/>
            </w:pPr>
            <w:r>
              <w:t xml:space="preserve">Simplified clinical scope</w:t>
            </w:r>
          </w:p>
        </w:tc>
      </w:tr>
      <w:tr>
        <w:tc>
          <w:tcPr/>
          <w:p>
            <w:pPr>
              <w:pStyle w:val="Compact"/>
              <w:jc w:val="left"/>
            </w:pPr>
            <w:r>
              <w:t xml:space="preserve">"Network access" = integration capability</w:t>
            </w:r>
          </w:p>
        </w:tc>
        <w:tc>
          <w:tcPr/>
          <w:p>
            <w:pPr>
              <w:pStyle w:val="Compact"/>
              <w:jc w:val="left"/>
            </w:pPr>
            <w:r>
              <w:t xml:space="preserve">Reframes as a Vitality strength</w:t>
            </w:r>
          </w:p>
        </w:tc>
      </w:tr>
    </w:tbl>
    <w:bookmarkEnd w:id="105"/>
    <w:bookmarkStart w:id="106" w:name="a6-the-kpis-the-county-named-in-order"/>
    <w:p>
      <w:pPr>
        <w:pStyle w:val="Heading3"/>
      </w:pPr>
      <w:r>
        <w:t xml:space="preserve">A.6 The KPIs the County named, in order</w:t>
      </w:r>
    </w:p>
    <w:p>
      <w:pPr>
        <w:pStyle w:val="Compact"/>
        <w:numPr>
          <w:ilvl w:val="0"/>
          <w:numId w:val="1044"/>
        </w:numPr>
      </w:pPr>
      <w:r>
        <w:rPr>
          <w:b/>
          <w:bCs/>
        </w:rPr>
        <w:t xml:space="preserve">Continued member engagement</w:t>
      </w:r>
      <w:r>
        <w:t xml:space="preserve"> </w:t>
      </w:r>
      <w:r>
        <w:t xml:space="preserve">— VITA AI persistent-memory advisor + Dr. Vann's behavioral cadence</w:t>
      </w:r>
    </w:p>
    <w:p>
      <w:pPr>
        <w:pStyle w:val="Compact"/>
        <w:numPr>
          <w:ilvl w:val="0"/>
          <w:numId w:val="1044"/>
        </w:numPr>
      </w:pPr>
      <w:r>
        <w:rPr>
          <w:b/>
          <w:bCs/>
        </w:rPr>
        <w:t xml:space="preserve">Proper use of GLP-1 medications</w:t>
      </w:r>
      <w:r>
        <w:t xml:space="preserve"> </w:t>
      </w:r>
      <w:r>
        <w:t xml:space="preserve">— Dr. Love's clinical protocol with titration and adherence monitoring</w:t>
      </w:r>
    </w:p>
    <w:p>
      <w:pPr>
        <w:pStyle w:val="Compact"/>
        <w:numPr>
          <w:ilvl w:val="0"/>
          <w:numId w:val="1044"/>
        </w:numPr>
      </w:pPr>
      <w:r>
        <w:rPr>
          <w:b/>
          <w:bCs/>
        </w:rPr>
        <w:t xml:space="preserve">Cost savings</w:t>
      </w:r>
      <w:r>
        <w:t xml:space="preserve"> </w:t>
      </w:r>
      <w:r>
        <w:t xml:space="preserve">— $2.09M GLP-1 capture + $675K medical + $282K productivity = $3.05M Year-1 opportunity vs. $1.71M cost</w:t>
      </w:r>
    </w:p>
    <w:p>
      <w:pPr>
        <w:pStyle w:val="FirstParagraph"/>
      </w:pPr>
      <w:r>
        <w:t xml:space="preserve">Notably absent: weight-loss percentages, BMI reduction targets, specific clinical biomarkers. The County views these as means, not ends. Vitality's reporting framework presents them as drivers of engagement, GLP-1 use, and savings — never as standalone metrics.</w:t>
      </w:r>
    </w:p>
    <w:bookmarkEnd w:id="106"/>
    <w:bookmarkStart w:id="107" w:name="a7-procurement-process-facts"/>
    <w:p>
      <w:pPr>
        <w:pStyle w:val="Heading3"/>
      </w:pPr>
      <w:r>
        <w:t xml:space="preserve">A.7 Procurement process facts</w:t>
      </w:r>
    </w:p>
    <w:p>
      <w:pPr>
        <w:pStyle w:val="Compact"/>
        <w:numPr>
          <w:ilvl w:val="0"/>
          <w:numId w:val="1045"/>
        </w:numPr>
      </w:pPr>
      <w:r>
        <w:t xml:space="preserve">Addendum #2 signed by Tammy Culley, Purchasing Agent — all communication routes through her</w:t>
      </w:r>
    </w:p>
    <w:p>
      <w:pPr>
        <w:pStyle w:val="Compact"/>
        <w:numPr>
          <w:ilvl w:val="0"/>
          <w:numId w:val="1045"/>
        </w:numPr>
      </w:pPr>
      <w:r>
        <w:t xml:space="preserve">Acknowledgment of Addendum #2 on the RFP response page is mandatory (see Appendix C)</w:t>
      </w:r>
    </w:p>
    <w:p>
      <w:pPr>
        <w:pStyle w:val="Compact"/>
        <w:numPr>
          <w:ilvl w:val="0"/>
          <w:numId w:val="1045"/>
        </w:numPr>
      </w:pPr>
      <w:r>
        <w:t xml:space="preserve">Deadline: 1:45 PM CDT, June 2, 2026; no late acceptance</w:t>
      </w:r>
    </w:p>
    <w:bookmarkEnd w:id="107"/>
    <w:bookmarkEnd w:id="108"/>
    <w:bookmarkStart w:id="109" w:name="Xd222809f970b6eb55bd34a3640ecf90ea7dd4e9"/>
    <w:p>
      <w:pPr>
        <w:pStyle w:val="Heading2"/>
      </w:pPr>
      <w:r>
        <w:t xml:space="preserve">Appendix B — Reconciled Numbers Source Sheet</w:t>
      </w:r>
    </w:p>
    <w:p>
      <w:pPr>
        <w:pStyle w:val="FirstParagraph"/>
      </w:pPr>
      <w:r>
        <w:t xml:space="preserve">Every numerical figure used in this proposal is drawn from one of three sources: (a) Sedgwick County RFP #26-0028 and its addenda, (b) peer-reviewed published research, or (c) Vitality's reconciled internal pricing and ROI model. The table below provides a single-page audit trail.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Figure</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Total members enrolled on County plans</w:t>
            </w:r>
          </w:p>
        </w:tc>
        <w:tc>
          <w:tcPr/>
          <w:p>
            <w:pPr>
              <w:pStyle w:val="Compact"/>
              <w:jc w:val="left"/>
            </w:pPr>
            <w:r>
              <w:t xml:space="preserve">5,871</w:t>
            </w:r>
          </w:p>
        </w:tc>
        <w:tc>
          <w:tcPr/>
          <w:p>
            <w:pPr>
              <w:pStyle w:val="Compact"/>
              <w:jc w:val="left"/>
            </w:pPr>
            <w:r>
              <w:t xml:space="preserve">RFP #26-0028 Addendum #2</w:t>
            </w:r>
          </w:p>
        </w:tc>
      </w:tr>
      <w:tr>
        <w:tc>
          <w:tcPr/>
          <w:p>
            <w:pPr>
              <w:pStyle w:val="Compact"/>
              <w:jc w:val="left"/>
            </w:pPr>
            <w:r>
              <w:t xml:space="preserve">Eligible adults (EE + dependents 18+)</w:t>
            </w:r>
          </w:p>
        </w:tc>
        <w:tc>
          <w:tcPr/>
          <w:p>
            <w:pPr>
              <w:pStyle w:val="Compact"/>
              <w:jc w:val="left"/>
            </w:pPr>
            <w:r>
              <w:t xml:space="preserve">4,213</w:t>
            </w:r>
          </w:p>
        </w:tc>
        <w:tc>
          <w:tcPr/>
          <w:p>
            <w:pPr>
              <w:pStyle w:val="Compact"/>
              <w:jc w:val="left"/>
            </w:pPr>
            <w:r>
              <w:t xml:space="preserve">RFP #26-0028 Addendum #2</w:t>
            </w:r>
          </w:p>
        </w:tc>
      </w:tr>
      <w:tr>
        <w:tc>
          <w:tcPr/>
          <w:p>
            <w:pPr>
              <w:pStyle w:val="Compact"/>
              <w:jc w:val="left"/>
            </w:pPr>
            <w:r>
              <w:t xml:space="preserve">Female share</w:t>
            </w:r>
          </w:p>
        </w:tc>
        <w:tc>
          <w:tcPr/>
          <w:p>
            <w:pPr>
              <w:pStyle w:val="Compact"/>
              <w:jc w:val="left"/>
            </w:pPr>
            <w:r>
              <w:t xml:space="preserve">53%</w:t>
            </w:r>
          </w:p>
        </w:tc>
        <w:tc>
          <w:tcPr/>
          <w:p>
            <w:pPr>
              <w:pStyle w:val="Compact"/>
              <w:jc w:val="left"/>
            </w:pPr>
            <w:r>
              <w:t xml:space="preserve">RFP #26-0028 Addendum #2</w:t>
            </w:r>
          </w:p>
        </w:tc>
      </w:tr>
      <w:tr>
        <w:tc>
          <w:tcPr/>
          <w:p>
            <w:pPr>
              <w:pStyle w:val="Compact"/>
              <w:jc w:val="left"/>
            </w:pPr>
            <w:r>
              <w:t xml:space="preserve">Currently on GLP-1</w:t>
            </w:r>
          </w:p>
        </w:tc>
        <w:tc>
          <w:tcPr/>
          <w:p>
            <w:pPr>
              <w:pStyle w:val="Compact"/>
              <w:jc w:val="left"/>
            </w:pPr>
            <w:r>
              <w:t xml:space="preserve">373</w:t>
            </w:r>
          </w:p>
        </w:tc>
        <w:tc>
          <w:tcPr/>
          <w:p>
            <w:pPr>
              <w:pStyle w:val="Compact"/>
              <w:jc w:val="left"/>
            </w:pPr>
            <w:r>
              <w:t xml:space="preserve">RFP #26-0028 Addendum #2</w:t>
            </w:r>
          </w:p>
        </w:tc>
      </w:tr>
      <w:tr>
        <w:tc>
          <w:tcPr/>
          <w:p>
            <w:pPr>
              <w:pStyle w:val="Compact"/>
              <w:jc w:val="left"/>
            </w:pPr>
            <w:r>
              <w:t xml:space="preserve">Past-year GLP-1 users</w:t>
            </w:r>
          </w:p>
        </w:tc>
        <w:tc>
          <w:tcPr/>
          <w:p>
            <w:pPr>
              <w:pStyle w:val="Compact"/>
              <w:jc w:val="left"/>
            </w:pPr>
            <w:r>
              <w:t xml:space="preserve">705</w:t>
            </w:r>
          </w:p>
        </w:tc>
        <w:tc>
          <w:tcPr/>
          <w:p>
            <w:pPr>
              <w:pStyle w:val="Compact"/>
              <w:jc w:val="left"/>
            </w:pPr>
            <w:r>
              <w:t xml:space="preserve">RFP #26-0028 Addendum #2</w:t>
            </w:r>
          </w:p>
        </w:tc>
      </w:tr>
      <w:tr>
        <w:tc>
          <w:tcPr/>
          <w:p>
            <w:pPr>
              <w:pStyle w:val="Compact"/>
              <w:jc w:val="left"/>
            </w:pPr>
            <w:r>
              <w:t xml:space="preserve">TPA</w:t>
            </w:r>
          </w:p>
        </w:tc>
        <w:tc>
          <w:tcPr/>
          <w:p>
            <w:pPr>
              <w:pStyle w:val="Compact"/>
              <w:jc w:val="left"/>
            </w:pPr>
            <w:r>
              <w:t xml:space="preserve">UnitedHealthcare (Group #902769)</w:t>
            </w:r>
          </w:p>
        </w:tc>
        <w:tc>
          <w:tcPr/>
          <w:p>
            <w:pPr>
              <w:pStyle w:val="Compact"/>
              <w:jc w:val="left"/>
            </w:pPr>
            <w:r>
              <w:t xml:space="preserve">RFP and Addendum #2</w:t>
            </w:r>
          </w:p>
        </w:tc>
      </w:tr>
      <w:tr>
        <w:tc>
          <w:tcPr/>
          <w:p>
            <w:pPr>
              <w:pStyle w:val="Compact"/>
              <w:jc w:val="left"/>
            </w:pPr>
            <w:r>
              <w:t xml:space="preserve">PBM</w:t>
            </w:r>
          </w:p>
        </w:tc>
        <w:tc>
          <w:tcPr/>
          <w:p>
            <w:pPr>
              <w:pStyle w:val="Compact"/>
              <w:jc w:val="left"/>
            </w:pPr>
            <w:r>
              <w:t xml:space="preserve">OptumRx</w:t>
            </w:r>
          </w:p>
        </w:tc>
        <w:tc>
          <w:tcPr/>
          <w:p>
            <w:pPr>
              <w:pStyle w:val="Compact"/>
              <w:jc w:val="left"/>
            </w:pPr>
            <w:r>
              <w:t xml:space="preserve">RFP and Addendum #2</w:t>
            </w:r>
          </w:p>
        </w:tc>
      </w:tr>
      <w:tr>
        <w:tc>
          <w:tcPr/>
          <w:p>
            <w:pPr>
              <w:pStyle w:val="Compact"/>
              <w:jc w:val="left"/>
            </w:pPr>
            <w:r>
              <w:t xml:space="preserve">Broker</w:t>
            </w:r>
          </w:p>
        </w:tc>
        <w:tc>
          <w:tcPr/>
          <w:p>
            <w:pPr>
              <w:pStyle w:val="Compact"/>
              <w:jc w:val="left"/>
            </w:pPr>
            <w:r>
              <w:t xml:space="preserve">IMA</w:t>
            </w:r>
          </w:p>
        </w:tc>
        <w:tc>
          <w:tcPr/>
          <w:p>
            <w:pPr>
              <w:pStyle w:val="Compact"/>
              <w:jc w:val="left"/>
            </w:pPr>
            <w:r>
              <w:t xml:space="preserve">RFP #26-0028 Addendum #2</w:t>
            </w:r>
          </w:p>
        </w:tc>
      </w:tr>
      <w:tr>
        <w:tc>
          <w:tcPr/>
          <w:p>
            <w:pPr>
              <w:pStyle w:val="Compact"/>
              <w:jc w:val="left"/>
            </w:pPr>
            <w:r>
              <w:t xml:space="preserve">Wellness incumbent</w:t>
            </w:r>
          </w:p>
        </w:tc>
        <w:tc>
          <w:tcPr/>
          <w:p>
            <w:pPr>
              <w:pStyle w:val="Compact"/>
              <w:jc w:val="left"/>
            </w:pPr>
            <w:r>
              <w:t xml:space="preserve">Rally (via UHC)</w:t>
            </w:r>
          </w:p>
        </w:tc>
        <w:tc>
          <w:tcPr/>
          <w:p>
            <w:pPr>
              <w:pStyle w:val="Compact"/>
              <w:jc w:val="left"/>
            </w:pPr>
            <w:r>
              <w:t xml:space="preserve">RFP #26-0028 Addendum #2</w:t>
            </w:r>
          </w:p>
        </w:tc>
      </w:tr>
      <w:tr>
        <w:tc>
          <w:tcPr/>
          <w:p>
            <w:pPr>
              <w:pStyle w:val="Compact"/>
              <w:jc w:val="left"/>
            </w:pPr>
            <w:r>
              <w:t xml:space="preserve">County obesity prevalence</w:t>
            </w:r>
          </w:p>
        </w:tc>
        <w:tc>
          <w:tcPr/>
          <w:p>
            <w:pPr>
              <w:pStyle w:val="Compact"/>
              <w:jc w:val="left"/>
            </w:pPr>
            <w:r>
              <w:t xml:space="preserve">36.2%</w:t>
            </w:r>
          </w:p>
        </w:tc>
        <w:tc>
          <w:tcPr/>
          <w:p>
            <w:pPr>
              <w:pStyle w:val="Compact"/>
              <w:jc w:val="left"/>
            </w:pPr>
            <w:r>
              <w:t xml:space="preserve">CDC PLACES 2023</w:t>
            </w:r>
          </w:p>
        </w:tc>
      </w:tr>
      <w:tr>
        <w:tc>
          <w:tcPr/>
          <w:p>
            <w:pPr>
              <w:pStyle w:val="Compact"/>
              <w:jc w:val="left"/>
            </w:pPr>
            <w:r>
              <w:t xml:space="preserve">Modeled at-risk adults</w:t>
            </w:r>
          </w:p>
        </w:tc>
        <w:tc>
          <w:tcPr/>
          <w:p>
            <w:pPr>
              <w:pStyle w:val="Compact"/>
              <w:jc w:val="left"/>
            </w:pPr>
            <w:r>
              <w:t xml:space="preserve">1,525</w:t>
            </w:r>
          </w:p>
        </w:tc>
        <w:tc>
          <w:tcPr/>
          <w:p>
            <w:pPr>
              <w:pStyle w:val="Compact"/>
              <w:jc w:val="left"/>
            </w:pPr>
            <w:r>
              <w:t xml:space="preserve">Derived: 4,213 × 36.2%</w:t>
            </w:r>
          </w:p>
        </w:tc>
      </w:tr>
      <w:tr>
        <w:tc>
          <w:tcPr/>
          <w:p>
            <w:pPr>
              <w:pStyle w:val="Compact"/>
              <w:jc w:val="left"/>
            </w:pPr>
            <w:r>
              <w:t xml:space="preserve">Target enrollment</w:t>
            </w:r>
          </w:p>
        </w:tc>
        <w:tc>
          <w:tcPr/>
          <w:p>
            <w:pPr>
              <w:pStyle w:val="Compact"/>
              <w:jc w:val="left"/>
            </w:pPr>
            <w:r>
              <w:t xml:space="preserve">534 (35% of at-risk)</w:t>
            </w:r>
          </w:p>
        </w:tc>
        <w:tc>
          <w:tcPr/>
          <w:p>
            <w:pPr>
              <w:pStyle w:val="Compact"/>
              <w:jc w:val="left"/>
            </w:pPr>
            <w:r>
              <w:t xml:space="preserve">Vitality model; industry-standard voluntary uptake</w:t>
            </w:r>
          </w:p>
        </w:tc>
      </w:tr>
      <w:tr>
        <w:tc>
          <w:tcPr/>
          <w:p>
            <w:pPr>
              <w:pStyle w:val="Compact"/>
              <w:jc w:val="left"/>
            </w:pPr>
            <w:r>
              <w:t xml:space="preserve">Lifestyle pathway annual cost</w:t>
            </w:r>
          </w:p>
        </w:tc>
        <w:tc>
          <w:tcPr/>
          <w:p>
            <w:pPr>
              <w:pStyle w:val="Compact"/>
              <w:jc w:val="left"/>
            </w:pPr>
            <w:r>
              <w:t xml:space="preserve">$3,200/member/year</w:t>
            </w:r>
          </w:p>
        </w:tc>
        <w:tc>
          <w:tcPr/>
          <w:p>
            <w:pPr>
              <w:pStyle w:val="Compact"/>
              <w:jc w:val="left"/>
            </w:pPr>
            <w:r>
              <w:t xml:space="preserve">Vitality reconciled pricing</w:t>
            </w:r>
          </w:p>
        </w:tc>
      </w:tr>
      <w:tr>
        <w:tc>
          <w:tcPr/>
          <w:p>
            <w:pPr>
              <w:pStyle w:val="Compact"/>
              <w:jc w:val="left"/>
            </w:pPr>
            <w:r>
              <w:t xml:space="preserve">Blended PEPM (20% GLP-1 mix)</w:t>
            </w:r>
          </w:p>
        </w:tc>
        <w:tc>
          <w:tcPr/>
          <w:p>
            <w:pPr>
              <w:pStyle w:val="Compact"/>
              <w:jc w:val="left"/>
            </w:pPr>
            <m:oMath>
              <m:r>
                <m:t>476</m:t>
              </m:r>
              <m:r>
                <m:rPr>
                  <m:sty m:val="p"/>
                </m:rPr>
                <m:t>–</m:t>
              </m:r>
            </m:oMath>
            <w:r>
              <w:t xml:space="preserve">525</w:t>
            </w:r>
          </w:p>
        </w:tc>
        <w:tc>
          <w:tcPr/>
          <w:p>
            <w:pPr>
              <w:pStyle w:val="Compact"/>
              <w:jc w:val="left"/>
            </w:pPr>
            <w:r>
              <w:t xml:space="preserve">Vitality reconciled pricing</w:t>
            </w:r>
          </w:p>
        </w:tc>
      </w:tr>
      <w:tr>
        <w:tc>
          <w:tcPr/>
          <w:p>
            <w:pPr>
              <w:pStyle w:val="Compact"/>
              <w:jc w:val="left"/>
            </w:pPr>
            <w:r>
              <w:t xml:space="preserve">GLP-1 unmanaged annual cost</w:t>
            </w:r>
          </w:p>
        </w:tc>
        <w:tc>
          <w:tcPr/>
          <w:p>
            <w:pPr>
              <w:pStyle w:val="Compact"/>
              <w:jc w:val="left"/>
            </w:pPr>
            <w:r>
              <w:t xml:space="preserve">$13,800/patient</w:t>
            </w:r>
          </w:p>
        </w:tc>
        <w:tc>
          <w:tcPr/>
          <w:p>
            <w:pPr>
              <w:pStyle w:val="Compact"/>
              <w:jc w:val="left"/>
            </w:pPr>
            <w:r>
              <w:t xml:space="preserve">RAND Corporation 2023 (conservative)</w:t>
            </w:r>
          </w:p>
        </w:tc>
      </w:tr>
      <w:tr>
        <w:tc>
          <w:tcPr/>
          <w:p>
            <w:pPr>
              <w:pStyle w:val="Compact"/>
              <w:jc w:val="left"/>
            </w:pPr>
            <w:r>
              <w:t xml:space="preserve">GLP-1 managed annual cost</w:t>
            </w:r>
          </w:p>
        </w:tc>
        <w:tc>
          <w:tcPr/>
          <w:p>
            <w:pPr>
              <w:pStyle w:val="Compact"/>
              <w:jc w:val="left"/>
            </w:pPr>
            <w:r>
              <w:t xml:space="preserve">$8,200/patient</w:t>
            </w:r>
          </w:p>
        </w:tc>
        <w:tc>
          <w:tcPr/>
          <w:p>
            <w:pPr>
              <w:pStyle w:val="Compact"/>
              <w:jc w:val="left"/>
            </w:pPr>
            <w:r>
              <w:t xml:space="preserve">RAND Corporation 2023 (conservative)</w:t>
            </w:r>
          </w:p>
        </w:tc>
      </w:tr>
      <w:tr>
        <w:tc>
          <w:tcPr/>
          <w:p>
            <w:pPr>
              <w:pStyle w:val="Compact"/>
              <w:jc w:val="left"/>
            </w:pPr>
            <w:r>
              <w:t xml:space="preserve">GLP-1 savings differential</w:t>
            </w:r>
          </w:p>
        </w:tc>
        <w:tc>
          <w:tcPr/>
          <w:p>
            <w:pPr>
              <w:pStyle w:val="Compact"/>
              <w:jc w:val="left"/>
            </w:pPr>
            <w:r>
              <w:t xml:space="preserve">$5,600/patient/year</w:t>
            </w:r>
          </w:p>
        </w:tc>
        <w:tc>
          <w:tcPr/>
          <w:p>
            <w:pPr>
              <w:pStyle w:val="Compact"/>
              <w:jc w:val="left"/>
            </w:pPr>
            <w:r>
              <w:t xml:space="preserve">Derived</w:t>
            </w:r>
          </w:p>
        </w:tc>
      </w:tr>
      <w:tr>
        <w:tc>
          <w:tcPr/>
          <w:p>
            <w:pPr>
              <w:pStyle w:val="Compact"/>
              <w:jc w:val="left"/>
            </w:pPr>
            <w:r>
              <w:t xml:space="preserve">Clinical success rate</w:t>
            </w:r>
          </w:p>
        </w:tc>
        <w:tc>
          <w:tcPr/>
          <w:p>
            <w:pPr>
              <w:pStyle w:val="Compact"/>
              <w:jc w:val="left"/>
            </w:pPr>
            <w:r>
              <w:t xml:space="preserve">68% achieve ≥5% weight loss</w:t>
            </w:r>
          </w:p>
        </w:tc>
        <w:tc>
          <w:tcPr/>
          <w:p>
            <w:pPr>
              <w:pStyle w:val="Compact"/>
              <w:jc w:val="left"/>
            </w:pPr>
            <w:r>
              <w:t xml:space="preserve">NIH/DPP Trial</w:t>
            </w:r>
          </w:p>
        </w:tc>
      </w:tr>
      <w:tr>
        <w:tc>
          <w:tcPr/>
          <w:p>
            <w:pPr>
              <w:pStyle w:val="Compact"/>
              <w:jc w:val="left"/>
            </w:pPr>
            <w:r>
              <w:t xml:space="preserve">Per-success medical savings</w:t>
            </w:r>
          </w:p>
        </w:tc>
        <w:tc>
          <w:tcPr/>
          <w:p>
            <w:pPr>
              <w:pStyle w:val="Compact"/>
              <w:jc w:val="left"/>
            </w:pPr>
            <w:r>
              <w:t xml:space="preserve">$1,861/year</w:t>
            </w:r>
          </w:p>
        </w:tc>
        <w:tc>
          <w:tcPr/>
          <w:p>
            <w:pPr>
              <w:pStyle w:val="Compact"/>
              <w:jc w:val="left"/>
            </w:pPr>
            <w:r>
              <w:t xml:space="preserve">CDC / CMS 2023</w:t>
            </w:r>
          </w:p>
        </w:tc>
      </w:tr>
      <w:tr>
        <w:tc>
          <w:tcPr/>
          <w:p>
            <w:pPr>
              <w:pStyle w:val="Compact"/>
              <w:jc w:val="left"/>
            </w:pPr>
            <w:r>
              <w:t xml:space="preserve">Per-success productivity savings</w:t>
            </w:r>
          </w:p>
        </w:tc>
        <w:tc>
          <w:tcPr/>
          <w:p>
            <w:pPr>
              <w:pStyle w:val="Compact"/>
              <w:jc w:val="left"/>
            </w:pPr>
            <w:r>
              <w:t xml:space="preserve">$778/year (2.73 days × $285/day)</w:t>
            </w:r>
          </w:p>
        </w:tc>
        <w:tc>
          <w:tcPr/>
          <w:p>
            <w:pPr>
              <w:pStyle w:val="Compact"/>
              <w:jc w:val="left"/>
            </w:pPr>
            <w:r>
              <w:t xml:space="preserve">RAND Corporation</w:t>
            </w:r>
          </w:p>
        </w:tc>
      </w:tr>
      <w:tr>
        <w:tc>
          <w:tcPr/>
          <w:p>
            <w:pPr>
              <w:pStyle w:val="Compact"/>
              <w:jc w:val="left"/>
            </w:pPr>
            <w:r>
              <w:t xml:space="preserve">Year-1 program cost (lifestyle baseline)</w:t>
            </w:r>
          </w:p>
        </w:tc>
        <w:tc>
          <w:tcPr/>
          <w:p>
            <w:pPr>
              <w:pStyle w:val="Compact"/>
              <w:jc w:val="left"/>
            </w:pPr>
            <w:r>
              <w:t xml:space="preserve">$1,708,800</w:t>
            </w:r>
          </w:p>
        </w:tc>
        <w:tc>
          <w:tcPr/>
          <w:p>
            <w:pPr>
              <w:pStyle w:val="Compact"/>
              <w:jc w:val="left"/>
            </w:pPr>
            <w:r>
              <w:t xml:space="preserve">534 × $3,200</w:t>
            </w:r>
          </w:p>
        </w:tc>
      </w:tr>
      <w:tr>
        <w:tc>
          <w:tcPr/>
          <w:p>
            <w:pPr>
              <w:pStyle w:val="Compact"/>
              <w:jc w:val="left"/>
            </w:pPr>
            <w:r>
              <w:t xml:space="preserve">GLP-1 capture annual savings</w:t>
            </w:r>
          </w:p>
        </w:tc>
        <w:tc>
          <w:tcPr/>
          <w:p>
            <w:pPr>
              <w:pStyle w:val="Compact"/>
              <w:jc w:val="left"/>
            </w:pPr>
            <w:r>
              <w:t xml:space="preserve">$2,088,800</w:t>
            </w:r>
          </w:p>
        </w:tc>
        <w:tc>
          <w:tcPr/>
          <w:p>
            <w:pPr>
              <w:pStyle w:val="Compact"/>
              <w:jc w:val="left"/>
            </w:pPr>
            <w:r>
              <w:t xml:space="preserve">373 × $5,600</w:t>
            </w:r>
          </w:p>
        </w:tc>
      </w:tr>
      <w:tr>
        <w:tc>
          <w:tcPr/>
          <w:p>
            <w:pPr>
              <w:pStyle w:val="Compact"/>
              <w:jc w:val="left"/>
            </w:pPr>
            <w:r>
              <w:t xml:space="preserve">Lifestyle + clinical annual savings</w:t>
            </w:r>
          </w:p>
        </w:tc>
        <w:tc>
          <w:tcPr/>
          <w:p>
            <w:pPr>
              <w:pStyle w:val="Compact"/>
              <w:jc w:val="left"/>
            </w:pPr>
            <w:r>
              <w:t xml:space="preserve">$957,957</w:t>
            </w:r>
          </w:p>
        </w:tc>
        <w:tc>
          <w:tcPr/>
          <w:p>
            <w:pPr>
              <w:pStyle w:val="Compact"/>
              <w:jc w:val="left"/>
            </w:pPr>
            <w:r>
              <w:t xml:space="preserve">363 × ($1,861 + $778)</w:t>
            </w:r>
          </w:p>
        </w:tc>
      </w:tr>
      <w:tr>
        <w:tc>
          <w:tcPr/>
          <w:p>
            <w:pPr>
              <w:pStyle w:val="Compact"/>
              <w:jc w:val="left"/>
            </w:pPr>
            <w:r>
              <w:t xml:space="preserve">Total Year-1 economic opportunity</w:t>
            </w:r>
          </w:p>
        </w:tc>
        <w:tc>
          <w:tcPr/>
          <w:p>
            <w:pPr>
              <w:pStyle w:val="Compact"/>
              <w:jc w:val="left"/>
            </w:pPr>
            <w:r>
              <w:t xml:space="preserve">$3,046,757</w:t>
            </w:r>
          </w:p>
        </w:tc>
        <w:tc>
          <w:tcPr/>
          <w:p>
            <w:pPr>
              <w:pStyle w:val="Compact"/>
              <w:jc w:val="left"/>
            </w:pPr>
            <w:r>
              <w:t xml:space="preserve">Sum of above</w:t>
            </w:r>
          </w:p>
        </w:tc>
      </w:tr>
      <w:tr>
        <w:tc>
          <w:tcPr/>
          <w:p>
            <w:pPr>
              <w:pStyle w:val="Compact"/>
              <w:jc w:val="left"/>
            </w:pPr>
            <w:r>
              <w:t xml:space="preserve">Status-quo annual cost (at-risk cohort)</w:t>
            </w:r>
          </w:p>
        </w:tc>
        <w:tc>
          <w:tcPr/>
          <w:p>
            <w:pPr>
              <w:pStyle w:val="Compact"/>
              <w:jc w:val="left"/>
            </w:pPr>
            <w:r>
              <w:t xml:space="preserve">$4.02M/yr</w:t>
            </w:r>
          </w:p>
        </w:tc>
        <w:tc>
          <w:tcPr/>
          <w:p>
            <w:pPr>
              <w:pStyle w:val="Compact"/>
              <w:jc w:val="left"/>
            </w:pPr>
            <w:r>
              <w:t xml:space="preserve">1,525 × $2,639</w:t>
            </w:r>
          </w:p>
        </w:tc>
      </w:tr>
      <w:tr>
        <w:tc>
          <w:tcPr/>
          <w:p>
            <w:pPr>
              <w:pStyle w:val="Compact"/>
              <w:jc w:val="left"/>
            </w:pPr>
            <w:r>
              <w:t xml:space="preserve">Multi-year ROI Year 1</w:t>
            </w:r>
          </w:p>
        </w:tc>
        <w:tc>
          <w:tcPr/>
          <w:p>
            <w:pPr>
              <w:pStyle w:val="Compact"/>
              <w:jc w:val="left"/>
            </w:pPr>
            <w:r>
              <w:t xml:space="preserve">0.56x</w:t>
            </w:r>
          </w:p>
        </w:tc>
        <w:tc>
          <w:tcPr/>
          <w:p>
            <w:pPr>
              <w:pStyle w:val="Compact"/>
              <w:jc w:val="left"/>
            </w:pPr>
            <w:r>
              <w:t xml:space="preserve">Vitality model with graduate-savings carryover (85% retention, 3-year tail)</w:t>
            </w:r>
          </w:p>
        </w:tc>
      </w:tr>
      <w:tr>
        <w:tc>
          <w:tcPr/>
          <w:p>
            <w:pPr>
              <w:pStyle w:val="Compact"/>
              <w:jc w:val="left"/>
            </w:pPr>
            <w:r>
              <w:t xml:space="preserve">Multi-year ROI Year 3</w:t>
            </w:r>
          </w:p>
        </w:tc>
        <w:tc>
          <w:tcPr/>
          <w:p>
            <w:pPr>
              <w:pStyle w:val="Compact"/>
              <w:jc w:val="left"/>
            </w:pPr>
            <w:r>
              <w:t xml:space="preserve">1.01x</w:t>
            </w:r>
          </w:p>
        </w:tc>
        <w:tc>
          <w:tcPr/>
          <w:p>
            <w:pPr>
              <w:pStyle w:val="Compact"/>
              <w:jc w:val="left"/>
            </w:pPr>
            <w:r>
              <w:t xml:space="preserve">Vitality model</w:t>
            </w:r>
          </w:p>
        </w:tc>
      </w:tr>
      <w:tr>
        <w:tc>
          <w:tcPr/>
          <w:p>
            <w:pPr>
              <w:pStyle w:val="Compact"/>
              <w:jc w:val="left"/>
            </w:pPr>
            <w:r>
              <w:t xml:space="preserve">Multi-year ROI Year 5</w:t>
            </w:r>
          </w:p>
        </w:tc>
        <w:tc>
          <w:tcPr/>
          <w:p>
            <w:pPr>
              <w:pStyle w:val="Compact"/>
              <w:jc w:val="left"/>
            </w:pPr>
            <w:r>
              <w:t xml:space="preserve">1.32x</w:t>
            </w:r>
          </w:p>
        </w:tc>
        <w:tc>
          <w:tcPr/>
          <w:p>
            <w:pPr>
              <w:pStyle w:val="Compact"/>
              <w:jc w:val="left"/>
            </w:pPr>
            <w:r>
              <w:t xml:space="preserve">Vitality model</w:t>
            </w:r>
          </w:p>
        </w:tc>
      </w:tr>
      <w:tr>
        <w:tc>
          <w:tcPr/>
          <w:p>
            <w:pPr>
              <w:pStyle w:val="Compact"/>
              <w:jc w:val="left"/>
            </w:pPr>
            <w:r>
              <w:t xml:space="preserve">Harvard meta-analysis benchmark</w:t>
            </w:r>
          </w:p>
        </w:tc>
        <w:tc>
          <w:tcPr/>
          <w:p>
            <w:pPr>
              <w:pStyle w:val="Compact"/>
              <w:jc w:val="left"/>
            </w:pPr>
            <w:r>
              <w:t xml:space="preserve">$3.27 return per $1</w:t>
            </w:r>
          </w:p>
        </w:tc>
        <w:tc>
          <w:tcPr/>
          <w:p>
            <w:pPr>
              <w:pStyle w:val="Compact"/>
              <w:jc w:val="left"/>
            </w:pPr>
            <w:r>
              <w:t xml:space="preserve">Health Affairs 2010 (upper-bound benchmark)</w:t>
            </w:r>
          </w:p>
        </w:tc>
      </w:tr>
    </w:tbl>
    <w:bookmarkEnd w:id="109"/>
    <w:bookmarkStart w:id="110" w:name="appendix-c--acknowledgment-of-addenda"/>
    <w:p>
      <w:pPr>
        <w:pStyle w:val="Heading2"/>
      </w:pPr>
      <w:r>
        <w:t xml:space="preserve">Appendix C — Acknowledgment of Addenda</w:t>
      </w:r>
    </w:p>
    <w:p>
      <w:pPr>
        <w:pStyle w:val="FirstParagraph"/>
      </w:pPr>
      <w:r>
        <w:t xml:space="preserve">Pursuant to the County's instruction in Addendum #2 ("PLEASE ACKNOWLEDGE RECEIPT OF THIS ADDENDUM ON THE RFP RESPONSE PAGE"), the undersigned Prime Contractor formally acknowledges receipt of:</w:t>
      </w:r>
    </w:p>
    <w:p>
      <w:pPr>
        <w:pStyle w:val="Compact"/>
        <w:numPr>
          <w:ilvl w:val="0"/>
          <w:numId w:val="1046"/>
        </w:numPr>
      </w:pPr>
      <w:r>
        <w:rPr>
          <w:b/>
          <w:bCs/>
        </w:rPr>
        <w:t xml:space="preserve">Addendum #1</w:t>
      </w:r>
      <w:r>
        <w:t xml:space="preserve"> </w:t>
      </w:r>
      <w:r>
        <w:t xml:space="preserve">to RFP #26-0028 — received and incorporated into this response</w:t>
      </w:r>
    </w:p>
    <w:p>
      <w:pPr>
        <w:pStyle w:val="Compact"/>
        <w:numPr>
          <w:ilvl w:val="0"/>
          <w:numId w:val="1046"/>
        </w:numPr>
      </w:pPr>
      <w:r>
        <w:rPr>
          <w:b/>
          <w:bCs/>
        </w:rPr>
        <w:t xml:space="preserve">Addendum #2</w:t>
      </w:r>
      <w:r>
        <w:t xml:space="preserve"> </w:t>
      </w:r>
      <w:r>
        <w:t xml:space="preserve">to RFP #26-0028, issued May 22, 2026 by Tammy Culley, Purchasing Agent — received and incorporated into this response</w:t>
      </w:r>
    </w:p>
    <w:p>
      <w:pPr>
        <w:pStyle w:val="FirstParagraph"/>
      </w:pPr>
      <w:r>
        <w:t xml:space="preserve">________________________________</w:t>
      </w:r>
    </w:p>
    <w:p>
      <w:pPr>
        <w:pStyle w:val="BodyText"/>
      </w:pPr>
      <w:r>
        <w:rPr>
          <w:b/>
          <w:bCs/>
        </w:rPr>
        <w:t xml:space="preserve">Dr. Chela Love, DNP, FNP-C, President</w:t>
      </w:r>
      <w:r>
        <w:t xml:space="preserve"> </w:t>
      </w:r>
      <w:r>
        <w:t xml:space="preserve">Love Clinic &amp; Med Spa, LLC (Prime Contractor)</w:t>
      </w:r>
    </w:p>
    <w:p>
      <w:pPr>
        <w:pStyle w:val="BodyText"/>
      </w:pPr>
      <w:r>
        <w:t xml:space="preserve">Date: ________________</w:t>
      </w:r>
    </w:p>
    <w:bookmarkEnd w:id="110"/>
    <w:bookmarkStart w:id="111" w:name="appendix-d--authorized-representative"/>
    <w:p>
      <w:pPr>
        <w:pStyle w:val="Heading2"/>
      </w:pPr>
      <w:r>
        <w:t xml:space="preserve">Appendix D — Authorized Representative</w:t>
      </w:r>
    </w:p>
    <w:p>
      <w:pPr>
        <w:pStyle w:val="FirstParagraph"/>
      </w:pPr>
      <w:r>
        <w:t xml:space="preserve">Dr. Chela Love, DNP, FNP-C, President</w:t>
      </w:r>
      <w:r>
        <w:t xml:space="preserve"> </w:t>
      </w:r>
      <w:r>
        <w:t xml:space="preserve">Love Clinic &amp; Med Spa, LLC — Prime Contractor</w:t>
      </w:r>
      <w:r>
        <w:t xml:space="preserve"> </w:t>
      </w:r>
      <w:r>
        <w:t xml:space="preserve">214 S Rock Rd, Suite 101 · Wichita, KS 67207</w:t>
      </w:r>
      <w:r>
        <w:t xml:space="preserve"> </w:t>
      </w:r>
      <w:hyperlink r:id="rId22">
        <w:r>
          <w:rPr>
            <w:rStyle w:val="Hyperlink"/>
          </w:rPr>
          <w:t xml:space="preserve">chelalove@loveclinicmedspa.com</w:t>
        </w:r>
      </w:hyperlink>
      <w:r>
        <w:t xml:space="preserve"> </w:t>
      </w:r>
      <w:r>
        <w:t xml:space="preserve">· 316-669-4770</w:t>
      </w:r>
    </w:p>
    <w:p>
      <w:pPr>
        <w:pStyle w:val="BodyText"/>
      </w:pPr>
      <w:r>
        <w:rPr>
          <w:b/>
          <w:bCs/>
        </w:rPr>
        <w:t xml:space="preserve">Program member portal (public-facing):</w:t>
      </w:r>
      <w:r>
        <w:t xml:space="preserve"> </w:t>
      </w:r>
      <w:r>
        <w:t xml:space="preserve">glpwellness.fit</w:t>
      </w:r>
    </w:p>
    <w:p>
      <w:pPr>
        <w:pStyle w:val="BodyText"/>
      </w:pPr>
      <w:r>
        <w:rPr>
          <w:b/>
          <w:bCs/>
        </w:rPr>
        <w:t xml:space="preserve">Day-to-day contract administration contact (for routine notices, reporting, and operational coordination, at the direction of the Authorized Representative):</w:t>
      </w:r>
      <w:r>
        <w:t xml:space="preserve"> </w:t>
      </w:r>
      <w:r>
        <w:t xml:space="preserve">Eric Hargrave, CEO, Hargrave Innovative Solutions —</w:t>
      </w:r>
      <w:r>
        <w:t xml:space="preserve"> </w:t>
      </w:r>
      <w:hyperlink r:id="rId45">
        <w:r>
          <w:rPr>
            <w:rStyle w:val="Hyperlink"/>
          </w:rPr>
          <w:t xml:space="preserve">ericd@hisolution.org</w:t>
        </w:r>
      </w:hyperlink>
      <w:r>
        <w:t xml:space="preserve"> </w:t>
      </w:r>
      <w:r>
        <w:t xml:space="preserve">· 601-238-4186</w:t>
      </w:r>
    </w:p>
    <w:p>
      <w:pPr>
        <w:pStyle w:val="BodyText"/>
      </w:pPr>
      <w:r>
        <w:t xml:space="preserve">All notices, communications, and contractual matters regarding this proposal and any awarded contract shall be directed to the Authorized Representative above. Routine operational and administrative correspondence may be copied to the contract administration contact at the County's convenience.</w:t>
      </w:r>
    </w:p>
    <w:bookmarkEnd w:id="111"/>
    <w:bookmarkStart w:id="114" w:name="appendix-e--professional-references"/>
    <w:p>
      <w:pPr>
        <w:pStyle w:val="Heading2"/>
      </w:pPr>
      <w:r>
        <w:t xml:space="preserve">Appendix E — Professional References</w:t>
      </w:r>
    </w:p>
    <w:p>
      <w:pPr>
        <w:pStyle w:val="FirstParagraph"/>
      </w:pPr>
      <w:r>
        <w:t xml:space="preserve">RFP §Required Response Content L.2.3 requires "at minimum, three (3) professional references, besides Sedgwick County, with email addresses, telephone numbers, and contact persons where work has been completed within the last three (3) years." L.2.3 applies to the proposing firm — the Prime Contractor (Love Clinic &amp; Med Spa, LLC). Three Prime references are presented in §E.1 below and fully satisfy L.2.3. The supplementary subcontractor reference posture summarized in §E.2 is provided as supporting due-diligence on the Prime's selected team, not as additional L.2.3 compliance items.</w:t>
      </w:r>
    </w:p>
    <w:bookmarkStart w:id="112" w:name="X399de318a76403e20290b883256fc0e76cdf736"/>
    <w:p>
      <w:pPr>
        <w:pStyle w:val="Heading3"/>
      </w:pPr>
      <w:r>
        <w:t xml:space="preserve">E.1 — Love Clinic &amp; Med Spa, LLC (Prime Contractor) — CLOSED — satisfies L.2.3</w:t>
      </w:r>
    </w:p>
    <w:p>
      <w:pPr>
        <w:pStyle w:val="FirstParagraph"/>
      </w:pPr>
      <w:r>
        <w:t xml:space="preserve">Three written employer reference letters on the GLP-1 weight-loss program service line, each from an organization whose employees are current Love Clinic patients. Full signed letters bound as</w:t>
      </w:r>
      <w:r>
        <w:t xml:space="preserve"> </w:t>
      </w:r>
      <w:r>
        <w:rPr>
          <w:b/>
          <w:bCs/>
        </w:rPr>
        <w:t xml:space="preserve">Appendix E.1.a–c</w:t>
      </w:r>
      <w:r>
        <w:t xml:space="preserve"> </w:t>
      </w:r>
      <w:r>
        <w:t xml:space="preserve">in the submission package.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Author</w:t>
            </w:r>
          </w:p>
        </w:tc>
        <w:tc>
          <w:tcPr/>
          <w:p>
            <w:pPr>
              <w:pStyle w:val="Compact"/>
              <w:jc w:val="left"/>
            </w:pPr>
            <w:r>
              <w:t xml:space="preserve">Title</w:t>
            </w:r>
          </w:p>
        </w:tc>
        <w:tc>
          <w:tcPr/>
          <w:p>
            <w:pPr>
              <w:pStyle w:val="Compact"/>
              <w:jc w:val="left"/>
            </w:pPr>
            <w:r>
              <w:t xml:space="preserve">Organization</w:t>
            </w:r>
          </w:p>
        </w:tc>
        <w:tc>
          <w:tcPr/>
          <w:p>
            <w:pPr>
              <w:pStyle w:val="Compact"/>
              <w:jc w:val="left"/>
            </w:pPr>
            <w:r>
              <w:t xml:space="preserve">Location</w:t>
            </w:r>
          </w:p>
        </w:tc>
        <w:tc>
          <w:tcPr/>
          <w:p>
            <w:pPr>
              <w:pStyle w:val="Compact"/>
              <w:jc w:val="left"/>
            </w:pPr>
            <w:r>
              <w:t xml:space="preserve">Letter date</w:t>
            </w:r>
          </w:p>
        </w:tc>
        <w:tc>
          <w:tcPr/>
          <w:p>
            <w:pPr>
              <w:pStyle w:val="Compact"/>
              <w:jc w:val="left"/>
            </w:pPr>
            <w:r>
              <w:t xml:space="preserve">Service referenced</w:t>
            </w:r>
          </w:p>
        </w:tc>
        <w:tc>
          <w:tcPr/>
          <w:p>
            <w:pPr>
              <w:pStyle w:val="Compact"/>
              <w:jc w:val="left"/>
            </w:pPr>
            <w:r>
              <w:t xml:space="preserve">Phone / Email</w:t>
            </w:r>
          </w:p>
        </w:tc>
      </w:tr>
      <w:tr>
        <w:tc>
          <w:tcPr/>
          <w:p>
            <w:pPr>
              <w:pStyle w:val="Compact"/>
              <w:jc w:val="left"/>
            </w:pPr>
            <w:r>
              <w:t xml:space="preserve">E.1.a</w:t>
            </w:r>
          </w:p>
        </w:tc>
        <w:tc>
          <w:tcPr/>
          <w:p>
            <w:pPr>
              <w:pStyle w:val="Compact"/>
              <w:jc w:val="left"/>
            </w:pPr>
            <w:r>
              <w:rPr>
                <w:b/>
                <w:bCs/>
              </w:rPr>
              <w:t xml:space="preserve">Keri Williams</w:t>
            </w:r>
          </w:p>
        </w:tc>
        <w:tc>
          <w:tcPr/>
          <w:p>
            <w:pPr>
              <w:pStyle w:val="Compact"/>
              <w:jc w:val="left"/>
            </w:pPr>
            <w:r>
              <w:t xml:space="preserve">Director of Operations</w:t>
            </w:r>
          </w:p>
        </w:tc>
        <w:tc>
          <w:tcPr/>
          <w:p>
            <w:pPr>
              <w:pStyle w:val="Compact"/>
              <w:jc w:val="left"/>
            </w:pPr>
            <w:r>
              <w:t xml:space="preserve">(Wichita-area employer — organization name on signed letterhead in submission packet; HIS to confirm before submission)</w:t>
            </w:r>
          </w:p>
        </w:tc>
        <w:tc>
          <w:tcPr/>
          <w:p>
            <w:pPr>
              <w:pStyle w:val="Compact"/>
              <w:jc w:val="left"/>
            </w:pPr>
            <w:r>
              <w:t xml:space="preserve">9111 E Douglas Ave, Suite 140A, Wichita, KS 67207</w:t>
            </w:r>
          </w:p>
        </w:tc>
        <w:tc>
          <w:tcPr/>
          <w:p>
            <w:pPr>
              <w:pStyle w:val="Compact"/>
              <w:jc w:val="left"/>
            </w:pPr>
            <w:r>
              <w:t xml:space="preserve">May 24, 2026</w:t>
            </w:r>
          </w:p>
        </w:tc>
        <w:tc>
          <w:tcPr/>
          <w:p>
            <w:pPr>
              <w:pStyle w:val="Compact"/>
              <w:jc w:val="left"/>
            </w:pPr>
            <w:r>
              <w:t xml:space="preserve">GLP-1 weight loss program — multiple employees</w:t>
            </w:r>
          </w:p>
        </w:tc>
        <w:tc>
          <w:tcPr/>
          <w:p>
            <w:pPr>
              <w:pStyle w:val="Compact"/>
              <w:jc w:val="left"/>
            </w:pPr>
            <w:r>
              <w:t xml:space="preserve">316-771-7315 /</w:t>
            </w:r>
            <w:r>
              <w:t xml:space="preserve"> </w:t>
            </w:r>
            <w:r>
              <w:rPr>
                <w:i/>
                <w:iCs/>
              </w:rPr>
              <w:t xml:space="preserve">email on signed letterhead in submission packet</w:t>
            </w:r>
          </w:p>
        </w:tc>
      </w:tr>
      <w:tr>
        <w:tc>
          <w:tcPr/>
          <w:p>
            <w:pPr>
              <w:pStyle w:val="Compact"/>
              <w:jc w:val="left"/>
            </w:pPr>
            <w:r>
              <w:t xml:space="preserve">E.1.b</w:t>
            </w:r>
          </w:p>
        </w:tc>
        <w:tc>
          <w:tcPr/>
          <w:p>
            <w:pPr>
              <w:pStyle w:val="Compact"/>
              <w:jc w:val="left"/>
            </w:pPr>
            <w:r>
              <w:rPr>
                <w:b/>
                <w:bCs/>
              </w:rPr>
              <w:t xml:space="preserve">Christine Bacci</w:t>
            </w:r>
          </w:p>
        </w:tc>
        <w:tc>
          <w:tcPr/>
          <w:p>
            <w:pPr>
              <w:pStyle w:val="Compact"/>
              <w:jc w:val="left"/>
            </w:pPr>
            <w:r>
              <w:t xml:space="preserve">CEO</w:t>
            </w:r>
          </w:p>
        </w:tc>
        <w:tc>
          <w:tcPr/>
          <w:p>
            <w:pPr>
              <w:pStyle w:val="Compact"/>
              <w:jc w:val="left"/>
            </w:pPr>
            <w:r>
              <w:rPr>
                <w:b/>
                <w:bCs/>
              </w:rPr>
              <w:t xml:space="preserve">Thrive Therapy of KS</w:t>
            </w:r>
            <w:r>
              <w:t xml:space="preserve"> </w:t>
            </w:r>
            <w:r>
              <w:t xml:space="preserve">(thrivetherapyofks.com)</w:t>
            </w:r>
          </w:p>
        </w:tc>
        <w:tc>
          <w:tcPr/>
          <w:p>
            <w:pPr>
              <w:pStyle w:val="Compact"/>
              <w:jc w:val="left"/>
            </w:pPr>
            <w:r>
              <w:t xml:space="preserve">9111 E Douglas Ave, Suite 145, Wichita, KS 67207</w:t>
            </w:r>
          </w:p>
        </w:tc>
        <w:tc>
          <w:tcPr/>
          <w:p>
            <w:pPr>
              <w:pStyle w:val="Compact"/>
              <w:jc w:val="left"/>
            </w:pPr>
            <w:r>
              <w:t xml:space="preserve">May 24, 2025</w:t>
            </w:r>
          </w:p>
        </w:tc>
        <w:tc>
          <w:tcPr/>
          <w:p>
            <w:pPr>
              <w:pStyle w:val="Compact"/>
              <w:jc w:val="left"/>
            </w:pPr>
            <w:r>
              <w:t xml:space="preserve">GLP-1 medical weight loss program — multiple employees</w:t>
            </w:r>
          </w:p>
        </w:tc>
        <w:tc>
          <w:tcPr/>
          <w:p>
            <w:pPr>
              <w:pStyle w:val="Compact"/>
              <w:jc w:val="left"/>
            </w:pPr>
            <w:r>
              <w:t xml:space="preserve">316-670-9988 /</w:t>
            </w:r>
            <w:r>
              <w:t xml:space="preserve"> </w:t>
            </w:r>
            <w:r>
              <w:rPr>
                <w:i/>
                <w:iCs/>
              </w:rPr>
              <w:t xml:space="preserve">email on signed letterhead in submission packet</w:t>
            </w:r>
          </w:p>
        </w:tc>
      </w:tr>
      <w:tr>
        <w:tc>
          <w:tcPr/>
          <w:p>
            <w:pPr>
              <w:pStyle w:val="Compact"/>
              <w:jc w:val="left"/>
            </w:pPr>
            <w:r>
              <w:t xml:space="preserve">E.1.c</w:t>
            </w:r>
          </w:p>
        </w:tc>
        <w:tc>
          <w:tcPr/>
          <w:p>
            <w:pPr>
              <w:pStyle w:val="Compact"/>
              <w:jc w:val="left"/>
            </w:pPr>
            <w:r>
              <w:rPr>
                <w:b/>
                <w:bCs/>
              </w:rPr>
              <w:t xml:space="preserve">Tessra Youngblood</w:t>
            </w:r>
          </w:p>
        </w:tc>
        <w:tc>
          <w:tcPr/>
          <w:p>
            <w:pPr>
              <w:pStyle w:val="Compact"/>
              <w:jc w:val="left"/>
            </w:pPr>
            <w:r>
              <w:t xml:space="preserve">CEO</w:t>
            </w:r>
          </w:p>
        </w:tc>
        <w:tc>
          <w:tcPr/>
          <w:p>
            <w:pPr>
              <w:pStyle w:val="Compact"/>
              <w:jc w:val="left"/>
            </w:pPr>
            <w:r>
              <w:rPr>
                <w:b/>
                <w:bCs/>
              </w:rPr>
              <w:t xml:space="preserve">Youngblood Youth Development Homes &amp; Services, Inc.</w:t>
            </w:r>
          </w:p>
        </w:tc>
        <w:tc>
          <w:tcPr/>
          <w:p>
            <w:pPr>
              <w:pStyle w:val="Compact"/>
              <w:jc w:val="left"/>
            </w:pPr>
            <w:r>
              <w:t xml:space="preserve">(Wichita-area)</w:t>
            </w:r>
          </w:p>
        </w:tc>
        <w:tc>
          <w:tcPr/>
          <w:p>
            <w:pPr>
              <w:pStyle w:val="Compact"/>
              <w:jc w:val="left"/>
            </w:pPr>
            <w:r>
              <w:t xml:space="preserve">May 24, 2026</w:t>
            </w:r>
          </w:p>
        </w:tc>
        <w:tc>
          <w:tcPr/>
          <w:p>
            <w:pPr>
              <w:pStyle w:val="Compact"/>
              <w:jc w:val="left"/>
            </w:pPr>
            <w:r>
              <w:t xml:space="preserve">GLP-1 medical weight loss program — telehealth delivery to multiple employees</w:t>
            </w:r>
          </w:p>
        </w:tc>
        <w:tc>
          <w:tcPr/>
          <w:p>
            <w:pPr>
              <w:pStyle w:val="Compact"/>
              <w:jc w:val="left"/>
            </w:pPr>
            <w:r>
              <w:rPr>
                <w:i/>
                <w:iCs/>
              </w:rPr>
              <w:t xml:space="preserve">(phone / email on signed letterhead in submission packet — Tessra to confirm preferred contact channel before submission)</w:t>
            </w:r>
          </w:p>
        </w:tc>
      </w:tr>
    </w:tbl>
    <w:bookmarkEnd w:id="112"/>
    <w:bookmarkStart w:id="113" w:name="Xffa67a09eed881d4ad61c365977d239396c3208"/>
    <w:p>
      <w:pPr>
        <w:pStyle w:val="Heading3"/>
      </w:pPr>
      <w:r>
        <w:t xml:space="preserve">E.2 — Supplementary subcontractor due-diligence references (not required by L.2.3; provided on County request)</w:t>
      </w:r>
    </w:p>
    <w:p>
      <w:pPr>
        <w:pStyle w:val="FirstParagraph"/>
      </w:pPr>
      <w:r>
        <w:t xml:space="preserve">L.2.3 is satisfied by the three Prime references in §E.1. The Prime maintains additional reference information for each named subcontractor (Hargrave Innovative Solutions, Vanntastic Solutions, The COLLABORATIVE Advocate Foundation) as part of its standard back-to-back subcontract due-diligence file. One representative reference per subcontractor will be furnished to the County on request: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Subcontractor</w:t>
            </w:r>
          </w:p>
        </w:tc>
        <w:tc>
          <w:tcPr/>
          <w:p>
            <w:pPr>
              <w:pStyle w:val="Compact"/>
              <w:jc w:val="left"/>
            </w:pPr>
            <w:r>
              <w:t xml:space="preserve">Reference posture</w:t>
            </w:r>
          </w:p>
        </w:tc>
      </w:tr>
      <w:tr>
        <w:tc>
          <w:tcPr/>
          <w:p>
            <w:pPr>
              <w:pStyle w:val="Compact"/>
              <w:jc w:val="left"/>
            </w:pPr>
            <w:r>
              <w:t xml:space="preserve">Hargrave Innovative Solutions</w:t>
            </w:r>
          </w:p>
        </w:tc>
        <w:tc>
          <w:tcPr/>
          <w:p>
            <w:pPr>
              <w:pStyle w:val="Compact"/>
              <w:jc w:val="left"/>
            </w:pPr>
            <w:r>
              <w:t xml:space="preserve">One representative public-sector or self-insured-employer reference available on request from the Prime's due-diligence file.</w:t>
            </w:r>
          </w:p>
        </w:tc>
      </w:tr>
      <w:tr>
        <w:tc>
          <w:tcPr/>
          <w:p>
            <w:pPr>
              <w:pStyle w:val="Compact"/>
              <w:jc w:val="left"/>
            </w:pPr>
            <w:r>
              <w:t xml:space="preserve">Vanntastic Solutions</w:t>
            </w:r>
          </w:p>
        </w:tc>
        <w:tc>
          <w:tcPr/>
          <w:p>
            <w:pPr>
              <w:pStyle w:val="Compact"/>
              <w:jc w:val="left"/>
            </w:pPr>
            <w:r>
              <w:t xml:space="preserve">One representative wellness-programming, speaking-sponsor, or community-engagement reference available on request from the Prime's due-diligence file.</w:t>
            </w:r>
          </w:p>
        </w:tc>
      </w:tr>
      <w:tr>
        <w:tc>
          <w:tcPr/>
          <w:p>
            <w:pPr>
              <w:pStyle w:val="Compact"/>
              <w:jc w:val="left"/>
            </w:pPr>
            <w:r>
              <w:t xml:space="preserve">The COLLABORATIVE Advocate Foundation</w:t>
            </w:r>
          </w:p>
        </w:tc>
        <w:tc>
          <w:tcPr/>
          <w:p>
            <w:pPr>
              <w:pStyle w:val="Compact"/>
              <w:jc w:val="left"/>
            </w:pPr>
            <w:r>
              <w:t xml:space="preserve">One representative public-sector implementation reference available on request from the Prime's due-diligence file; TCAF SAM.gov registration is independently verifiable (UEI KDDVD1FGLW35, active through 2027-05-06).</w:t>
            </w:r>
          </w:p>
        </w:tc>
      </w:tr>
    </w:tbl>
    <w:bookmarkEnd w:id="113"/>
    <w:bookmarkEnd w:id="114"/>
    <w:bookmarkStart w:id="115" w:name="X57d66fdaa66a3c8de6b3da61ab2f66f825abaf2"/>
    <w:p>
      <w:pPr>
        <w:pStyle w:val="Heading2"/>
      </w:pPr>
      <w:r>
        <w:t xml:space="preserve">Appendix F.1 — Response Form (Prime Contractor — filed with the County)</w:t>
      </w:r>
    </w:p>
    <w:p>
      <w:pPr>
        <w:pStyle w:val="FirstParagraph"/>
      </w:pPr>
      <w:r>
        <w:t xml:space="preserve">The official Sedgwick County Response Form for RFP #26-0028 is completed in the name of the Prime Contractor (Love Clinic &amp; Med Spa, LLC) only. The fields below are the County's required Page 1 fields with the Prime's responses: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Prime Response</w:t>
            </w:r>
          </w:p>
        </w:tc>
      </w:tr>
      <w:tr>
        <w:tc>
          <w:tcPr/>
          <w:p>
            <w:pPr>
              <w:pStyle w:val="Compact"/>
              <w:jc w:val="left"/>
            </w:pPr>
            <w:r>
              <w:t xml:space="preserve">Legal firm name</w:t>
            </w:r>
          </w:p>
        </w:tc>
        <w:tc>
          <w:tcPr/>
          <w:p>
            <w:pPr>
              <w:pStyle w:val="Compact"/>
              <w:jc w:val="left"/>
            </w:pPr>
            <w:r>
              <w:rPr>
                <w:b/>
                <w:bCs/>
              </w:rPr>
              <w:t xml:space="preserve">Love Clinic &amp; Med Spa, LLC</w:t>
            </w:r>
          </w:p>
        </w:tc>
      </w:tr>
      <w:tr>
        <w:tc>
          <w:tcPr/>
          <w:p>
            <w:pPr>
              <w:pStyle w:val="Compact"/>
              <w:jc w:val="left"/>
            </w:pPr>
            <w:r>
              <w:t xml:space="preserve">DBA (if any)</w:t>
            </w:r>
          </w:p>
        </w:tc>
        <w:tc>
          <w:tcPr/>
          <w:p>
            <w:pPr>
              <w:pStyle w:val="Compact"/>
              <w:jc w:val="left"/>
            </w:pPr>
            <w:r>
              <w:t xml:space="preserve">Love Clinic &amp; Med Spa</w:t>
            </w:r>
          </w:p>
        </w:tc>
      </w:tr>
      <w:tr>
        <w:tc>
          <w:tcPr/>
          <w:p>
            <w:pPr>
              <w:pStyle w:val="Compact"/>
              <w:jc w:val="left"/>
            </w:pPr>
            <w:r>
              <w:t xml:space="preserve">Mailing address (street, city, state, ZIP)</w:t>
            </w:r>
          </w:p>
        </w:tc>
        <w:tc>
          <w:tcPr/>
          <w:p>
            <w:pPr>
              <w:pStyle w:val="Compact"/>
              <w:jc w:val="left"/>
            </w:pPr>
            <w:r>
              <w:rPr>
                <w:b/>
                <w:bCs/>
              </w:rPr>
              <w:t xml:space="preserve">214 S Rock Rd, Suite 101, Wichita, KS 67207</w:t>
            </w:r>
          </w:p>
        </w:tc>
      </w:tr>
      <w:tr>
        <w:tc>
          <w:tcPr/>
          <w:p>
            <w:pPr>
              <w:pStyle w:val="Compact"/>
              <w:jc w:val="left"/>
            </w:pPr>
            <w:r>
              <w:t xml:space="preserve">State of incorporation / formation</w:t>
            </w:r>
          </w:p>
        </w:tc>
        <w:tc>
          <w:tcPr/>
          <w:p>
            <w:pPr>
              <w:pStyle w:val="Compact"/>
              <w:jc w:val="left"/>
            </w:pPr>
            <w:r>
              <w:rPr>
                <w:b/>
                <w:bCs/>
              </w:rPr>
              <w:t xml:space="preserve">Kansas</w:t>
            </w:r>
          </w:p>
        </w:tc>
      </w:tr>
      <w:tr>
        <w:tc>
          <w:tcPr/>
          <w:p>
            <w:pPr>
              <w:pStyle w:val="Compact"/>
              <w:jc w:val="left"/>
            </w:pPr>
            <w:r>
              <w:t xml:space="preserve">Authorized contact name</w:t>
            </w:r>
          </w:p>
        </w:tc>
        <w:tc>
          <w:tcPr/>
          <w:p>
            <w:pPr>
              <w:pStyle w:val="Compact"/>
              <w:jc w:val="left"/>
            </w:pPr>
            <w:r>
              <w:rPr>
                <w:b/>
                <w:bCs/>
              </w:rPr>
              <w:t xml:space="preserve">Dr. Chela Love, DNP, FNP-C, President</w:t>
            </w:r>
          </w:p>
        </w:tc>
      </w:tr>
      <w:tr>
        <w:tc>
          <w:tcPr/>
          <w:p>
            <w:pPr>
              <w:pStyle w:val="Compact"/>
              <w:jc w:val="left"/>
            </w:pPr>
            <w:r>
              <w:t xml:space="preserve">Authorized contact email</w:t>
            </w:r>
          </w:p>
        </w:tc>
        <w:tc>
          <w:tcPr/>
          <w:p>
            <w:pPr>
              <w:pStyle w:val="Compact"/>
              <w:jc w:val="left"/>
            </w:pPr>
            <w:hyperlink r:id="rId22">
              <w:r>
                <w:rPr>
                  <w:rStyle w:val="Hyperlink"/>
                  <w:b/>
                  <w:bCs/>
                </w:rPr>
                <w:t xml:space="preserve">chelalove@loveclinicmedspa.com</w:t>
              </w:r>
            </w:hyperlink>
          </w:p>
        </w:tc>
      </w:tr>
      <w:tr>
        <w:tc>
          <w:tcPr/>
          <w:p>
            <w:pPr>
              <w:pStyle w:val="Compact"/>
              <w:jc w:val="left"/>
            </w:pPr>
            <w:r>
              <w:t xml:space="preserve">Authorized contact phone</w:t>
            </w:r>
          </w:p>
        </w:tc>
        <w:tc>
          <w:tcPr/>
          <w:p>
            <w:pPr>
              <w:pStyle w:val="Compact"/>
              <w:jc w:val="left"/>
            </w:pPr>
            <w:r>
              <w:rPr>
                <w:b/>
                <w:bCs/>
              </w:rPr>
              <w:t xml:space="preserve">316-669-4770</w:t>
            </w:r>
          </w:p>
        </w:tc>
      </w:tr>
      <w:tr>
        <w:tc>
          <w:tcPr/>
          <w:p>
            <w:pPr>
              <w:pStyle w:val="Compact"/>
              <w:jc w:val="left"/>
            </w:pPr>
            <w:r>
              <w:t xml:space="preserve">Fax</w:t>
            </w:r>
          </w:p>
        </w:tc>
        <w:tc>
          <w:tcPr/>
          <w:p>
            <w:pPr>
              <w:pStyle w:val="Compact"/>
              <w:jc w:val="left"/>
            </w:pPr>
            <w:r>
              <w:t xml:space="preserve">N/A</w:t>
            </w:r>
          </w:p>
        </w:tc>
      </w:tr>
      <w:tr>
        <w:tc>
          <w:tcPr/>
          <w:p>
            <w:pPr>
              <w:pStyle w:val="Compact"/>
              <w:jc w:val="left"/>
            </w:pPr>
            <w:r>
              <w:t xml:space="preserve">Website</w:t>
            </w:r>
          </w:p>
        </w:tc>
        <w:tc>
          <w:tcPr/>
          <w:p>
            <w:pPr>
              <w:pStyle w:val="Compact"/>
              <w:jc w:val="left"/>
            </w:pPr>
            <w:hyperlink r:id="rId39">
              <w:r>
                <w:rPr>
                  <w:rStyle w:val="Hyperlink"/>
                  <w:b/>
                  <w:bCs/>
                </w:rPr>
                <w:t xml:space="preserve">www.loveclinicmedspa.com</w:t>
              </w:r>
            </w:hyperlink>
            <w:r>
              <w:t xml:space="preserve"> </w:t>
            </w:r>
            <w:r>
              <w:t xml:space="preserve">(Prime company site);</w:t>
            </w:r>
            <w:r>
              <w:t xml:space="preserve"> </w:t>
            </w:r>
            <w:r>
              <w:rPr>
                <w:b/>
                <w:bCs/>
              </w:rPr>
              <w:t xml:space="preserve">glpwellness.fit</w:t>
            </w:r>
            <w:r>
              <w:t xml:space="preserve"> </w:t>
            </w:r>
            <w:r>
              <w:t xml:space="preserve">(Vitality program member portal — the public-facing surface County employees and dependents access)</w:t>
            </w:r>
          </w:p>
        </w:tc>
      </w:tr>
      <w:tr>
        <w:tc>
          <w:tcPr/>
          <w:p>
            <w:pPr>
              <w:pStyle w:val="Compact"/>
              <w:jc w:val="left"/>
            </w:pPr>
            <w:r>
              <w:t xml:space="preserve">Year established</w:t>
            </w:r>
          </w:p>
        </w:tc>
        <w:tc>
          <w:tcPr/>
          <w:p>
            <w:pPr>
              <w:pStyle w:val="Compact"/>
              <w:jc w:val="left"/>
            </w:pPr>
            <w:r>
              <w:rPr>
                <w:b/>
                <w:bCs/>
              </w:rPr>
              <w:t xml:space="preserve">January 2017</w:t>
            </w:r>
            <w:r>
              <w:t xml:space="preserve"> </w:t>
            </w:r>
            <w:r>
              <w:t xml:space="preserve">(nine years of continuous operation)</w:t>
            </w:r>
          </w:p>
        </w:tc>
      </w:tr>
      <w:tr>
        <w:tc>
          <w:tcPr/>
          <w:p>
            <w:pPr>
              <w:pStyle w:val="Compact"/>
              <w:jc w:val="left"/>
            </w:pPr>
            <w:r>
              <w:t xml:space="preserve">Number of employees</w:t>
            </w:r>
          </w:p>
        </w:tc>
        <w:tc>
          <w:tcPr/>
          <w:p>
            <w:pPr>
              <w:pStyle w:val="Compact"/>
              <w:jc w:val="left"/>
            </w:pPr>
            <w:r>
              <w:t xml:space="preserve">⬜ Prime to confirm total head-count (Dr. Love + 2 named clinical-team members in submission packet — Angie Funes, Office Mgr/MA, bilingual EN/ES; Yorly Salazar, CCMA/CNA, bilingual EN/ES — plus aestheticians and front desk)</w:t>
            </w:r>
          </w:p>
        </w:tc>
      </w:tr>
      <w:tr>
        <w:tc>
          <w:tcPr/>
          <w:p>
            <w:pPr>
              <w:pStyle w:val="Compact"/>
              <w:jc w:val="left"/>
            </w:pPr>
            <w:r>
              <w:t xml:space="preserve">Number of locations</w:t>
            </w:r>
          </w:p>
        </w:tc>
        <w:tc>
          <w:tcPr/>
          <w:p>
            <w:pPr>
              <w:pStyle w:val="Compact"/>
              <w:jc w:val="left"/>
            </w:pPr>
            <w:r>
              <w:rPr>
                <w:b/>
                <w:bCs/>
              </w:rPr>
              <w:t xml:space="preserve">1</w:t>
            </w:r>
            <w:r>
              <w:t xml:space="preserve"> </w:t>
            </w:r>
            <w:r>
              <w:t xml:space="preserve">(214 S Rock Rd, Suite 101, Wichita, KS)</w:t>
            </w:r>
          </w:p>
        </w:tc>
      </w:tr>
      <w:tr>
        <w:tc>
          <w:tcPr/>
          <w:p>
            <w:pPr>
              <w:pStyle w:val="Compact"/>
              <w:jc w:val="left"/>
            </w:pPr>
            <w:r>
              <w:t xml:space="preserve">Hours of operation</w:t>
            </w:r>
          </w:p>
        </w:tc>
        <w:tc>
          <w:tcPr/>
          <w:p>
            <w:pPr>
              <w:pStyle w:val="Compact"/>
              <w:jc w:val="left"/>
            </w:pPr>
            <w:r>
              <w:t xml:space="preserve">⬜ Prime to confirm (typical clinic hours; telehealth extends availability)</w:t>
            </w:r>
          </w:p>
        </w:tc>
      </w:tr>
      <w:tr>
        <w:tc>
          <w:tcPr/>
          <w:p>
            <w:pPr>
              <w:pStyle w:val="Compact"/>
              <w:jc w:val="left"/>
            </w:pPr>
            <w:r>
              <w:t xml:space="preserve">Business classification</w:t>
            </w:r>
          </w:p>
        </w:tc>
        <w:tc>
          <w:tcPr/>
          <w:p>
            <w:pPr>
              <w:pStyle w:val="Compact"/>
              <w:jc w:val="left"/>
            </w:pPr>
            <w:r>
              <w:rPr>
                <w:b/>
                <w:bCs/>
              </w:rPr>
              <w:t xml:space="preserve">Limited Liability Company (LLC)</w:t>
            </w:r>
            <w:r>
              <w:t xml:space="preserve"> </w:t>
            </w:r>
            <w:r>
              <w:t xml:space="preserve">— Kansas</w:t>
            </w:r>
          </w:p>
        </w:tc>
      </w:tr>
      <w:tr>
        <w:tc>
          <w:tcPr/>
          <w:p>
            <w:pPr>
              <w:pStyle w:val="Compact"/>
              <w:jc w:val="left"/>
            </w:pPr>
            <w:r>
              <w:t xml:space="preserve">Small business</w:t>
            </w:r>
          </w:p>
        </w:tc>
        <w:tc>
          <w:tcPr/>
          <w:p>
            <w:pPr>
              <w:pStyle w:val="Compact"/>
              <w:jc w:val="left"/>
            </w:pPr>
            <w:r>
              <w:rPr>
                <w:b/>
                <w:bCs/>
              </w:rPr>
              <w:t xml:space="preserve">YES</w:t>
            </w:r>
          </w:p>
        </w:tc>
      </w:tr>
      <w:tr>
        <w:tc>
          <w:tcPr/>
          <w:p>
            <w:pPr>
              <w:pStyle w:val="Compact"/>
              <w:jc w:val="left"/>
            </w:pPr>
            <w:r>
              <w:t xml:space="preserve">Minority-owned business</w:t>
            </w:r>
          </w:p>
        </w:tc>
        <w:tc>
          <w:tcPr/>
          <w:p>
            <w:pPr>
              <w:pStyle w:val="Compact"/>
              <w:jc w:val="left"/>
            </w:pPr>
            <w:r>
              <w:rPr>
                <w:b/>
                <w:bCs/>
              </w:rPr>
              <w:t xml:space="preserve">YES</w:t>
            </w:r>
            <w:r>
              <w:t xml:space="preserve"> </w:t>
            </w:r>
            <w:r>
              <w:t xml:space="preserve">(Black-owned; principal Dr. Chela Love)</w:t>
            </w:r>
          </w:p>
        </w:tc>
      </w:tr>
      <w:tr>
        <w:tc>
          <w:tcPr/>
          <w:p>
            <w:pPr>
              <w:pStyle w:val="Compact"/>
              <w:jc w:val="left"/>
            </w:pPr>
            <w:r>
              <w:t xml:space="preserve">Woman-owned business</w:t>
            </w:r>
          </w:p>
        </w:tc>
        <w:tc>
          <w:tcPr/>
          <w:p>
            <w:pPr>
              <w:pStyle w:val="Compact"/>
              <w:jc w:val="left"/>
            </w:pPr>
            <w:r>
              <w:rPr>
                <w:b/>
                <w:bCs/>
              </w:rPr>
              <w:t xml:space="preserve">YES</w:t>
            </w:r>
            <w:r>
              <w:t xml:space="preserve"> </w:t>
            </w:r>
            <w:r>
              <w:t xml:space="preserve">(principal Dr. Chela Love)</w:t>
            </w:r>
          </w:p>
        </w:tc>
      </w:tr>
      <w:tr>
        <w:tc>
          <w:tcPr/>
          <w:p>
            <w:pPr>
              <w:pStyle w:val="Compact"/>
              <w:jc w:val="left"/>
            </w:pPr>
            <w:r>
              <w:t xml:space="preserve">Veteran-owned business</w:t>
            </w:r>
          </w:p>
        </w:tc>
        <w:tc>
          <w:tcPr/>
          <w:p>
            <w:pPr>
              <w:pStyle w:val="Compact"/>
              <w:jc w:val="left"/>
            </w:pPr>
            <w:r>
              <w:t xml:space="preserve">N/A</w:t>
            </w:r>
          </w:p>
        </w:tc>
      </w:tr>
      <w:tr>
        <w:tc>
          <w:tcPr/>
          <w:p>
            <w:pPr>
              <w:pStyle w:val="Compact"/>
              <w:jc w:val="left"/>
            </w:pPr>
            <w:r>
              <w:t xml:space="preserve">Registered to do business in Kansas</w:t>
            </w:r>
          </w:p>
        </w:tc>
        <w:tc>
          <w:tcPr/>
          <w:p>
            <w:pPr>
              <w:pStyle w:val="Compact"/>
              <w:jc w:val="left"/>
            </w:pPr>
            <w:r>
              <w:rPr>
                <w:b/>
                <w:bCs/>
              </w:rPr>
              <w:t xml:space="preserve">YES</w:t>
            </w:r>
            <w:r>
              <w:t xml:space="preserve"> </w:t>
            </w:r>
            <w:r>
              <w:t xml:space="preserve">(Kansas-domiciled LLC)</w:t>
            </w:r>
          </w:p>
        </w:tc>
      </w:tr>
      <w:tr>
        <w:tc>
          <w:tcPr/>
          <w:p>
            <w:pPr>
              <w:pStyle w:val="Compact"/>
              <w:jc w:val="left"/>
            </w:pPr>
            <w:r>
              <w:t xml:space="preserve">Insurance: KS-licensed carrier, AM Best A-VIII minimum</w:t>
            </w:r>
          </w:p>
        </w:tc>
        <w:tc>
          <w:tcPr/>
          <w:p>
            <w:pPr>
              <w:pStyle w:val="Compact"/>
              <w:jc w:val="left"/>
            </w:pPr>
            <w:r>
              <w:rPr>
                <w:b/>
                <w:bCs/>
              </w:rPr>
              <w:t xml:space="preserve">YES</w:t>
            </w:r>
            <w:r>
              <w:t xml:space="preserve"> </w:t>
            </w:r>
            <w:r>
              <w:t xml:space="preserve">(per Section 11.2 commitment)</w:t>
            </w:r>
          </w:p>
        </w:tc>
      </w:tr>
      <w:tr>
        <w:tc>
          <w:tcPr/>
          <w:p>
            <w:pPr>
              <w:pStyle w:val="Compact"/>
              <w:jc w:val="left"/>
            </w:pPr>
            <w:r>
              <w:t xml:space="preserve">UEI (Unique Entity Identifier from SAM.gov)</w:t>
            </w:r>
          </w:p>
        </w:tc>
        <w:tc>
          <w:tcPr/>
          <w:p>
            <w:pPr>
              <w:pStyle w:val="Compact"/>
              <w:jc w:val="left"/>
            </w:pPr>
            <w:r>
              <w:t xml:space="preserve">⬜ Prime to confirm — Love Clinic to register or supply existing UEI prior to submission</w:t>
            </w:r>
          </w:p>
        </w:tc>
      </w:tr>
      <w:tr>
        <w:tc>
          <w:tcPr/>
          <w:p>
            <w:pPr>
              <w:pStyle w:val="Compact"/>
              <w:jc w:val="left"/>
            </w:pPr>
            <w:r>
              <w:t xml:space="preserve">Acknowledgment of Addendum #1 (issued May 4, 2026)</w:t>
            </w:r>
          </w:p>
        </w:tc>
        <w:tc>
          <w:tcPr/>
          <w:p>
            <w:pPr>
              <w:pStyle w:val="Compact"/>
              <w:jc w:val="left"/>
            </w:pPr>
            <w:r>
              <w:rPr>
                <w:b/>
                <w:bCs/>
              </w:rPr>
              <w:t xml:space="preserve">YES</w:t>
            </w:r>
            <w:r>
              <w:t xml:space="preserve"> </w:t>
            </w:r>
            <w:r>
              <w:t xml:space="preserve">(checked)</w:t>
            </w:r>
          </w:p>
        </w:tc>
      </w:tr>
      <w:tr>
        <w:tc>
          <w:tcPr/>
          <w:p>
            <w:pPr>
              <w:pStyle w:val="Compact"/>
              <w:jc w:val="left"/>
            </w:pPr>
            <w:r>
              <w:t xml:space="preserve">Acknowledgment of Addendum #2 (issued May 22, 2026)</w:t>
            </w:r>
          </w:p>
        </w:tc>
        <w:tc>
          <w:tcPr/>
          <w:p>
            <w:pPr>
              <w:pStyle w:val="Compact"/>
              <w:jc w:val="left"/>
            </w:pPr>
            <w:r>
              <w:rPr>
                <w:b/>
                <w:bCs/>
              </w:rPr>
              <w:t xml:space="preserve">YES</w:t>
            </w:r>
            <w:r>
              <w:t xml:space="preserve"> </w:t>
            </w:r>
            <w:r>
              <w:t xml:space="preserve">(checked)</w:t>
            </w:r>
          </w:p>
        </w:tc>
      </w:tr>
      <w:tr>
        <w:tc>
          <w:tcPr/>
          <w:p>
            <w:pPr>
              <w:pStyle w:val="Compact"/>
              <w:jc w:val="left"/>
            </w:pPr>
            <w:r>
              <w:t xml:space="preserve">Authorized signature</w:t>
            </w:r>
          </w:p>
        </w:tc>
        <w:tc>
          <w:tcPr/>
          <w:p>
            <w:pPr>
              <w:pStyle w:val="Compact"/>
              <w:jc w:val="left"/>
            </w:pPr>
            <w:r>
              <w:rPr>
                <w:b/>
                <w:bCs/>
              </w:rPr>
              <w:t xml:space="preserve">Dr. Chela Love, DNP, FNP-C, President, Love Clinic &amp; Med Spa, LLC</w:t>
            </w:r>
            <w:r>
              <w:t xml:space="preserve"> </w:t>
            </w:r>
            <w:r>
              <w:t xml:space="preserve">(wet or e-signature)</w:t>
            </w:r>
          </w:p>
        </w:tc>
      </w:tr>
      <w:tr>
        <w:tc>
          <w:tcPr/>
          <w:p>
            <w:pPr>
              <w:pStyle w:val="Compact"/>
              <w:jc w:val="left"/>
            </w:pPr>
            <w:r>
              <w:t xml:space="preserve">Date</w:t>
            </w:r>
          </w:p>
        </w:tc>
        <w:tc>
          <w:tcPr/>
          <w:p>
            <w:pPr>
              <w:pStyle w:val="Compact"/>
              <w:jc w:val="left"/>
            </w:pPr>
            <w:r>
              <w:t xml:space="preserve">June 2, 2026 (or actual signature date)</w:t>
            </w:r>
          </w:p>
        </w:tc>
      </w:tr>
    </w:tbl>
    <w:p>
      <w:pPr>
        <w:pStyle w:val="BodyText"/>
      </w:pPr>
      <w:r>
        <w:t xml:space="preserve">Response Form Page 2 (KORA Privilege Log) is presented as Appendix H.</w:t>
      </w:r>
    </w:p>
    <w:bookmarkEnd w:id="115"/>
    <w:bookmarkStart w:id="117" w:name="X57c61379de1fd997afe6e0386834dbe7cdf7ac8"/>
    <w:p>
      <w:pPr>
        <w:pStyle w:val="Heading2"/>
      </w:pPr>
      <w:r>
        <w:t xml:space="preserve">Appendix F.2 — Subcontractor due-diligence file (retained by the Prime, available to County on request)</w:t>
      </w:r>
    </w:p>
    <w:p>
      <w:pPr>
        <w:pStyle w:val="FirstParagraph"/>
      </w:pPr>
      <w:r>
        <w:t xml:space="preserve">The following information is collected and held on file by the Prime (Love Clinic &amp; Med Spa, LLC), with administrative support from HIS, for each named subcontractor under back-to-back BAA and subcontract documentation. It is not submitted as part of the County's Response Form (which is filed by Prime only) but is available to the County on request for any subcontractor named in this proposal.</w:t>
      </w:r>
    </w:p>
    <w:p>
      <w:pPr>
        <w:pStyle w:val="BodyText"/>
      </w:pPr>
      <w:r>
        <w:rPr>
          <w:b/>
          <w:bCs/>
        </w:rPr>
        <w:t xml:space="preserve">Hargrave Innovative Solutions (HIS)</w:t>
      </w:r>
      <w:r>
        <w:t xml:space="preserve"> </w:t>
      </w:r>
      <w:r>
        <w:t xml:space="preserve">— Contract Administration &amp; Compliance Subcontractor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Legal firm name</w:t>
            </w:r>
          </w:p>
        </w:tc>
        <w:tc>
          <w:tcPr/>
          <w:p>
            <w:pPr>
              <w:pStyle w:val="Compact"/>
              <w:jc w:val="left"/>
            </w:pPr>
            <w:r>
              <w:rPr>
                <w:b/>
                <w:bCs/>
              </w:rPr>
              <w:t xml:space="preserve">Hargrave Innovative Solutions</w:t>
            </w:r>
          </w:p>
        </w:tc>
      </w:tr>
      <w:tr>
        <w:tc>
          <w:tcPr/>
          <w:p>
            <w:pPr>
              <w:pStyle w:val="Compact"/>
              <w:jc w:val="left"/>
            </w:pPr>
            <w:r>
              <w:t xml:space="preserve">Principal</w:t>
            </w:r>
          </w:p>
        </w:tc>
        <w:tc>
          <w:tcPr/>
          <w:p>
            <w:pPr>
              <w:pStyle w:val="Compact"/>
              <w:jc w:val="left"/>
            </w:pPr>
            <w:r>
              <w:rPr>
                <w:b/>
                <w:bCs/>
              </w:rPr>
              <w:t xml:space="preserve">Eric Hargrave, Chief Executive Officer</w:t>
            </w:r>
            <w:r>
              <w:t xml:space="preserve"> </w:t>
            </w:r>
            <w:r>
              <w:t xml:space="preserve">(per HIS company signature card)</w:t>
            </w:r>
          </w:p>
        </w:tc>
      </w:tr>
      <w:tr>
        <w:tc>
          <w:tcPr/>
          <w:p>
            <w:pPr>
              <w:pStyle w:val="Compact"/>
              <w:jc w:val="left"/>
            </w:pPr>
            <w:r>
              <w:t xml:space="preserve">Contact email</w:t>
            </w:r>
          </w:p>
        </w:tc>
        <w:tc>
          <w:tcPr/>
          <w:p>
            <w:pPr>
              <w:pStyle w:val="Compact"/>
              <w:jc w:val="left"/>
            </w:pPr>
            <w:hyperlink r:id="rId45">
              <w:r>
                <w:rPr>
                  <w:rStyle w:val="Hyperlink"/>
                  <w:b/>
                  <w:bCs/>
                </w:rPr>
                <w:t xml:space="preserve">ericd@hisolution.org</w:t>
              </w:r>
            </w:hyperlink>
          </w:p>
        </w:tc>
      </w:tr>
      <w:tr>
        <w:tc>
          <w:tcPr/>
          <w:p>
            <w:pPr>
              <w:pStyle w:val="Compact"/>
              <w:jc w:val="left"/>
            </w:pPr>
            <w:r>
              <w:t xml:space="preserve">Contact phone</w:t>
            </w:r>
          </w:p>
        </w:tc>
        <w:tc>
          <w:tcPr/>
          <w:p>
            <w:pPr>
              <w:pStyle w:val="Compact"/>
              <w:jc w:val="left"/>
            </w:pPr>
            <w:r>
              <w:rPr>
                <w:b/>
                <w:bCs/>
              </w:rPr>
              <w:t xml:space="preserve">601-238-4186</w:t>
            </w:r>
          </w:p>
        </w:tc>
      </w:tr>
      <w:tr>
        <w:tc>
          <w:tcPr/>
          <w:p>
            <w:pPr>
              <w:pStyle w:val="Compact"/>
              <w:jc w:val="left"/>
            </w:pPr>
            <w:r>
              <w:t xml:space="preserve">Website</w:t>
            </w:r>
          </w:p>
        </w:tc>
        <w:tc>
          <w:tcPr/>
          <w:p>
            <w:pPr>
              <w:pStyle w:val="Compact"/>
              <w:jc w:val="left"/>
            </w:pPr>
            <w:hyperlink r:id="rId116">
              <w:r>
                <w:rPr>
                  <w:rStyle w:val="Hyperlink"/>
                  <w:b/>
                  <w:bCs/>
                </w:rPr>
                <w:t xml:space="preserve">www.hisolution.org</w:t>
              </w:r>
            </w:hyperlink>
          </w:p>
        </w:tc>
      </w:tr>
      <w:tr>
        <w:tc>
          <w:tcPr/>
          <w:p>
            <w:pPr>
              <w:pStyle w:val="Compact"/>
              <w:jc w:val="left"/>
            </w:pPr>
            <w:r>
              <w:t xml:space="preserve">Firm tagline</w:t>
            </w:r>
          </w:p>
        </w:tc>
        <w:tc>
          <w:tcPr/>
          <w:p>
            <w:pPr>
              <w:pStyle w:val="Compact"/>
              <w:jc w:val="left"/>
            </w:pPr>
            <w:r>
              <w:rPr>
                <w:i/>
                <w:iCs/>
              </w:rPr>
              <w:t xml:space="preserve">"Upholding the golden rule."</w:t>
            </w:r>
            <w:r>
              <w:t xml:space="preserve"> </w:t>
            </w:r>
            <w:r>
              <w:t xml:space="preserve">(per HIS company signature card)</w:t>
            </w:r>
          </w:p>
        </w:tc>
      </w:tr>
      <w:tr>
        <w:tc>
          <w:tcPr/>
          <w:p>
            <w:pPr>
              <w:pStyle w:val="Compact"/>
              <w:jc w:val="left"/>
            </w:pPr>
            <w:r>
              <w:t xml:space="preserve">Headquarters</w:t>
            </w:r>
          </w:p>
        </w:tc>
        <w:tc>
          <w:tcPr/>
          <w:p>
            <w:pPr>
              <w:pStyle w:val="Compact"/>
              <w:jc w:val="left"/>
            </w:pPr>
            <w:r>
              <w:rPr>
                <w:b/>
                <w:bCs/>
              </w:rPr>
              <w:t xml:space="preserve">Wichita, KS</w:t>
            </w:r>
            <w:r>
              <w:t xml:space="preserve"> </w:t>
            </w:r>
            <w:r>
              <w:t xml:space="preserve">(street address to be confirmed by HIS on the back-to-back subcontract execution page)</w:t>
            </w:r>
          </w:p>
        </w:tc>
      </w:tr>
      <w:tr>
        <w:tc>
          <w:tcPr/>
          <w:p>
            <w:pPr>
              <w:pStyle w:val="Compact"/>
              <w:jc w:val="left"/>
            </w:pPr>
            <w:r>
              <w:t xml:space="preserve">State of formation</w:t>
            </w:r>
          </w:p>
        </w:tc>
        <w:tc>
          <w:tcPr/>
          <w:p>
            <w:pPr>
              <w:pStyle w:val="Compact"/>
              <w:jc w:val="left"/>
            </w:pPr>
            <w:r>
              <w:t xml:space="preserve">⬜ HIS to confirm on subcontract signature page</w:t>
            </w:r>
          </w:p>
        </w:tc>
      </w:tr>
      <w:tr>
        <w:tc>
          <w:tcPr/>
          <w:p>
            <w:pPr>
              <w:pStyle w:val="Compact"/>
              <w:jc w:val="left"/>
            </w:pPr>
            <w:r>
              <w:t xml:space="preserve">Business classification</w:t>
            </w:r>
          </w:p>
        </w:tc>
        <w:tc>
          <w:tcPr/>
          <w:p>
            <w:pPr>
              <w:pStyle w:val="Compact"/>
              <w:jc w:val="left"/>
            </w:pPr>
            <w:r>
              <w:t xml:space="preserve">⬜ HIS to confirm (LLC / Corp)</w:t>
            </w:r>
          </w:p>
        </w:tc>
      </w:tr>
      <w:tr>
        <w:tc>
          <w:tcPr/>
          <w:p>
            <w:pPr>
              <w:pStyle w:val="Compact"/>
              <w:jc w:val="left"/>
            </w:pPr>
            <w:r>
              <w:t xml:space="preserve">Registered in Kansas to do business</w:t>
            </w:r>
          </w:p>
        </w:tc>
        <w:tc>
          <w:tcPr/>
          <w:p>
            <w:pPr>
              <w:pStyle w:val="Compact"/>
              <w:jc w:val="left"/>
            </w:pPr>
            <w:r>
              <w:t xml:space="preserve">⬜ HIS to confirm; if N, register prior to contract award</w:t>
            </w:r>
          </w:p>
        </w:tc>
      </w:tr>
      <w:tr>
        <w:tc>
          <w:tcPr/>
          <w:p>
            <w:pPr>
              <w:pStyle w:val="Compact"/>
              <w:jc w:val="left"/>
            </w:pPr>
            <w:r>
              <w:t xml:space="preserve">UEI (SAM.gov)</w:t>
            </w:r>
          </w:p>
        </w:tc>
        <w:tc>
          <w:tcPr/>
          <w:p>
            <w:pPr>
              <w:pStyle w:val="Compact"/>
              <w:jc w:val="left"/>
            </w:pPr>
            <w:r>
              <w:t xml:space="preserve">⬜ HIS to provide</w:t>
            </w:r>
          </w:p>
        </w:tc>
      </w:tr>
      <w:tr>
        <w:tc>
          <w:tcPr/>
          <w:p>
            <w:pPr>
              <w:pStyle w:val="Compact"/>
              <w:jc w:val="left"/>
            </w:pPr>
            <w:r>
              <w:t xml:space="preserve">Related-entity disclosure</w:t>
            </w:r>
          </w:p>
        </w:tc>
        <w:tc>
          <w:tcPr/>
          <w:p>
            <w:pPr>
              <w:pStyle w:val="Compact"/>
              <w:jc w:val="left"/>
            </w:pPr>
            <w:r>
              <w:t xml:space="preserve">Eric Hargrave is also affiliated with</w:t>
            </w:r>
            <w:r>
              <w:t xml:space="preserve"> </w:t>
            </w:r>
            <w:r>
              <w:rPr>
                <w:b/>
                <w:bCs/>
              </w:rPr>
              <w:t xml:space="preserve">Fountain of Life Ministries</w:t>
            </w:r>
            <w:r>
              <w:t xml:space="preserve"> </w:t>
            </w:r>
            <w:r>
              <w:t xml:space="preserve">(community/faith anchor, named on prior TCAF NSF TechAccess coalition documentation). Disclosed for transparency; no conflict with this contract.</w:t>
            </w:r>
          </w:p>
        </w:tc>
      </w:tr>
      <w:tr>
        <w:tc>
          <w:tcPr/>
          <w:p>
            <w:pPr>
              <w:pStyle w:val="Compact"/>
              <w:jc w:val="left"/>
            </w:pPr>
            <w:r>
              <w:t xml:space="preserve">Certificate of Insurance</w:t>
            </w:r>
          </w:p>
        </w:tc>
        <w:tc>
          <w:tcPr/>
          <w:p>
            <w:pPr>
              <w:pStyle w:val="Compact"/>
              <w:jc w:val="left"/>
            </w:pPr>
            <w:r>
              <w:t xml:space="preserve">⬜ HIS to provide standalone COI for the Appendix G binder. The Prime confirms that Dr. Love added Eric Hargrave to Love Clinic's policy on 2026-05-26 as preparation for this team arrangement, providing day-one coverage continuity while HIS's standalone COI is finalized.</w:t>
            </w:r>
          </w:p>
        </w:tc>
      </w:tr>
    </w:tbl>
    <w:p>
      <w:pPr>
        <w:pStyle w:val="BodyText"/>
      </w:pPr>
      <w:r>
        <w:rPr>
          <w:b/>
          <w:bCs/>
        </w:rPr>
        <w:t xml:space="preserve">Vanntastic Solutions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Legal firm name</w:t>
            </w:r>
          </w:p>
        </w:tc>
        <w:tc>
          <w:tcPr/>
          <w:p>
            <w:pPr>
              <w:pStyle w:val="Compact"/>
              <w:jc w:val="left"/>
            </w:pPr>
            <w:r>
              <w:rPr>
                <w:b/>
                <w:bCs/>
              </w:rPr>
              <w:t xml:space="preserve">Vanntastic Solutions</w:t>
            </w:r>
            <w:r>
              <w:t xml:space="preserve"> </w:t>
            </w:r>
            <w:r>
              <w:t xml:space="preserve">(for-profit LLC, contracting vehicle for this proposal)</w:t>
            </w:r>
          </w:p>
        </w:tc>
      </w:tr>
      <w:tr>
        <w:tc>
          <w:tcPr/>
          <w:p>
            <w:pPr>
              <w:pStyle w:val="Compact"/>
              <w:jc w:val="left"/>
            </w:pPr>
            <w:r>
              <w:t xml:space="preserve">Principal</w:t>
            </w:r>
          </w:p>
        </w:tc>
        <w:tc>
          <w:tcPr/>
          <w:p>
            <w:pPr>
              <w:pStyle w:val="Compact"/>
              <w:jc w:val="left"/>
            </w:pPr>
            <w:r>
              <w:rPr>
                <w:b/>
                <w:bCs/>
              </w:rPr>
              <w:t xml:space="preserve">Dr. J. Michelle Vann, ThD, DCC, MS, BS — Founder &amp; Principal</w:t>
            </w:r>
          </w:p>
        </w:tc>
      </w:tr>
      <w:tr>
        <w:tc>
          <w:tcPr/>
          <w:p>
            <w:pPr>
              <w:pStyle w:val="Compact"/>
              <w:jc w:val="left"/>
            </w:pPr>
            <w:r>
              <w:t xml:space="preserve">Headquarters</w:t>
            </w:r>
          </w:p>
        </w:tc>
        <w:tc>
          <w:tcPr/>
          <w:p>
            <w:pPr>
              <w:pStyle w:val="Compact"/>
              <w:jc w:val="left"/>
            </w:pPr>
            <w:r>
              <w:rPr>
                <w:b/>
                <w:bCs/>
              </w:rPr>
              <w:t xml:space="preserve">Wichita, KS</w:t>
            </w:r>
            <w:r>
              <w:t xml:space="preserve"> </w:t>
            </w:r>
            <w:r>
              <w:t xml:space="preserve">(street address to be confirmed by Vanntastic on the back-to-back subcontract execution page)</w:t>
            </w:r>
          </w:p>
        </w:tc>
      </w:tr>
      <w:tr>
        <w:tc>
          <w:tcPr/>
          <w:p>
            <w:pPr>
              <w:pStyle w:val="Compact"/>
              <w:jc w:val="left"/>
            </w:pPr>
            <w:r>
              <w:t xml:space="preserve">Contact phone</w:t>
            </w:r>
          </w:p>
        </w:tc>
        <w:tc>
          <w:tcPr/>
          <w:p>
            <w:pPr>
              <w:pStyle w:val="Compact"/>
              <w:jc w:val="left"/>
            </w:pPr>
            <w:r>
              <w:rPr>
                <w:b/>
                <w:bCs/>
              </w:rPr>
              <w:t xml:space="preserve">316-350-2601</w:t>
            </w:r>
          </w:p>
        </w:tc>
      </w:tr>
      <w:tr>
        <w:tc>
          <w:tcPr/>
          <w:p>
            <w:pPr>
              <w:pStyle w:val="Compact"/>
              <w:jc w:val="left"/>
            </w:pPr>
            <w:r>
              <w:t xml:space="preserve">Website</w:t>
            </w:r>
          </w:p>
        </w:tc>
        <w:tc>
          <w:tcPr/>
          <w:p>
            <w:pPr>
              <w:pStyle w:val="Compact"/>
              <w:jc w:val="left"/>
            </w:pPr>
            <w:hyperlink r:id="rId41">
              <w:r>
                <w:rPr>
                  <w:rStyle w:val="Hyperlink"/>
                  <w:b/>
                  <w:bCs/>
                </w:rPr>
                <w:t xml:space="preserve">www.jmichellevann.com</w:t>
              </w:r>
            </w:hyperlink>
          </w:p>
        </w:tc>
      </w:tr>
      <w:tr>
        <w:tc>
          <w:tcPr/>
          <w:p>
            <w:pPr>
              <w:pStyle w:val="Compact"/>
              <w:jc w:val="left"/>
            </w:pPr>
            <w:r>
              <w:t xml:space="preserve">Business classification</w:t>
            </w:r>
          </w:p>
        </w:tc>
        <w:tc>
          <w:tcPr/>
          <w:p>
            <w:pPr>
              <w:pStyle w:val="Compact"/>
              <w:jc w:val="left"/>
            </w:pPr>
            <w:r>
              <w:t xml:space="preserve">Limited Liability Company (LLC); Vanntastic to confirm state of formation on subcontract execution page</w:t>
            </w:r>
          </w:p>
        </w:tc>
      </w:tr>
      <w:tr>
        <w:tc>
          <w:tcPr/>
          <w:p>
            <w:pPr>
              <w:pStyle w:val="Compact"/>
              <w:jc w:val="left"/>
            </w:pPr>
            <w:r>
              <w:t xml:space="preserve">Registered in Kansas</w:t>
            </w:r>
          </w:p>
        </w:tc>
        <w:tc>
          <w:tcPr/>
          <w:p>
            <w:pPr>
              <w:pStyle w:val="Compact"/>
              <w:jc w:val="left"/>
            </w:pPr>
            <w:r>
              <w:t xml:space="preserve">Wichita-domiciled and operating in Kansas; Vanntastic to confirm registration form on subcontract execution page</w:t>
            </w:r>
          </w:p>
        </w:tc>
      </w:tr>
      <w:tr>
        <w:tc>
          <w:tcPr/>
          <w:p>
            <w:pPr>
              <w:pStyle w:val="Compact"/>
              <w:jc w:val="left"/>
            </w:pPr>
            <w:r>
              <w:t xml:space="preserve">Confirmed scope on this contract</w:t>
            </w:r>
          </w:p>
        </w:tc>
        <w:tc>
          <w:tcPr/>
          <w:p>
            <w:pPr>
              <w:pStyle w:val="Compact"/>
              <w:jc w:val="left"/>
            </w:pPr>
            <w:r>
              <w:t xml:space="preserve">Wellness coaching, behavioral engagement, weekly member check-in cadence, and family-programming extensions for members with covered dependents. Spanish-language coaching coordinated via Love Clinic bilingual staff (Angie Funes / Yorly Salazar).</w:t>
            </w:r>
          </w:p>
        </w:tc>
      </w:tr>
      <w:tr>
        <w:tc>
          <w:tcPr/>
          <w:p>
            <w:pPr>
              <w:pStyle w:val="Compact"/>
              <w:jc w:val="left"/>
            </w:pPr>
            <w:r>
              <w:t xml:space="preserve">County board service</w:t>
            </w:r>
          </w:p>
        </w:tc>
        <w:tc>
          <w:tcPr/>
          <w:p>
            <w:pPr>
              <w:pStyle w:val="Compact"/>
              <w:jc w:val="left"/>
            </w:pPr>
            <w:r>
              <w:rPr>
                <w:b/>
                <w:bCs/>
              </w:rPr>
              <w:t xml:space="preserve">Dr. Vann holds a current seat on the Sedgwick County Mental Health Advisory Board.</w:t>
            </w:r>
            <w:r>
              <w:t xml:space="preserve"> </w:t>
            </w:r>
            <w:r>
              <w:t xml:space="preserve">Disclosed here for transparency; no contract-decision role. The Prime and Dr. Vann affirm that the Mental Health Advisory Board has no procurement, evaluation, or oversight authority over this RFP (#26-0028, employee benefits / weight management — administered by County Purchasing and HR).</w:t>
            </w:r>
          </w:p>
        </w:tc>
      </w:tr>
      <w:tr>
        <w:tc>
          <w:tcPr/>
          <w:p>
            <w:pPr>
              <w:pStyle w:val="Compact"/>
              <w:jc w:val="left"/>
            </w:pPr>
            <w:r>
              <w:t xml:space="preserve">Conflict-of-interest disclosure</w:t>
            </w:r>
          </w:p>
        </w:tc>
        <w:tc>
          <w:tcPr/>
          <w:p>
            <w:pPr>
              <w:pStyle w:val="Compact"/>
              <w:jc w:val="left"/>
            </w:pPr>
            <w:r>
              <w:rPr>
                <w:b/>
                <w:bCs/>
              </w:rPr>
              <w:t xml:space="preserve">None known for this contract.</w:t>
            </w:r>
            <w:r>
              <w:t xml:space="preserve"> </w:t>
            </w:r>
            <w:r>
              <w:t xml:space="preserve">Dr. Vann is also Founder of</w:t>
            </w:r>
            <w:r>
              <w:t xml:space="preserve"> </w:t>
            </w:r>
            <w:r>
              <w:rPr>
                <w:i/>
                <w:iCs/>
              </w:rPr>
              <w:t xml:space="preserve">Sistahs Can We Talk</w:t>
            </w:r>
            <w:r>
              <w:t xml:space="preserve"> </w:t>
            </w:r>
            <w:r>
              <w:t xml:space="preserve">(Wichita-based 501(c)(3), 2015), and her husband Pastor William Vann is Senior Pastor at</w:t>
            </w:r>
            <w:r>
              <w:t xml:space="preserve"> </w:t>
            </w:r>
            <w:r>
              <w:rPr>
                <w:i/>
                <w:iCs/>
              </w:rPr>
              <w:t xml:space="preserve">Iasis Christian Center</w:t>
            </w:r>
            <w:r>
              <w:t xml:space="preserve">. Neither entity is contracting on this proposal and no Iasis or Sistahs program data is being cited or used in service delivery for Sedgwick County employees and dependents. Dr. Vann and her husband co-own</w:t>
            </w:r>
            <w:r>
              <w:t xml:space="preserve"> </w:t>
            </w:r>
            <w:r>
              <w:rPr>
                <w:i/>
                <w:iCs/>
              </w:rPr>
              <w:t xml:space="preserve">BaM Group LLC</w:t>
            </w:r>
            <w:r>
              <w:t xml:space="preserve"> </w:t>
            </w:r>
            <w:r>
              <w:t xml:space="preserve">(rental management / consulting); routine disclosure noted.</w:t>
            </w:r>
          </w:p>
        </w:tc>
      </w:tr>
      <w:tr>
        <w:tc>
          <w:tcPr/>
          <w:p>
            <w:pPr>
              <w:pStyle w:val="Compact"/>
              <w:jc w:val="left"/>
            </w:pPr>
            <w:r>
              <w:t xml:space="preserve">TEDx talk reference</w:t>
            </w:r>
          </w:p>
        </w:tc>
        <w:tc>
          <w:tcPr/>
          <w:p>
            <w:pPr>
              <w:pStyle w:val="Compact"/>
              <w:jc w:val="left"/>
            </w:pPr>
            <w:r>
              <w:t xml:space="preserve">TEDx Newman University,</w:t>
            </w:r>
            <w:r>
              <w:t xml:space="preserve"> </w:t>
            </w:r>
            <w:r>
              <w:rPr>
                <w:i/>
                <w:iCs/>
              </w:rPr>
              <w:t xml:space="preserve">"Realigning When Life Gets Busy"</w:t>
            </w:r>
            <w:r>
              <w:t xml:space="preserve"> </w:t>
            </w:r>
            <w:r>
              <w:t xml:space="preserve">(Dr. Vann to provide URL on subcontract execution page)</w:t>
            </w:r>
          </w:p>
        </w:tc>
      </w:tr>
      <w:tr>
        <w:tc>
          <w:tcPr/>
          <w:p>
            <w:pPr>
              <w:pStyle w:val="Compact"/>
              <w:jc w:val="left"/>
            </w:pPr>
            <w:r>
              <w:t xml:space="preserve">UEI (if registered in SAM.gov)</w:t>
            </w:r>
          </w:p>
        </w:tc>
        <w:tc>
          <w:tcPr/>
          <w:p>
            <w:pPr>
              <w:pStyle w:val="Compact"/>
              <w:jc w:val="left"/>
            </w:pPr>
            <w:r>
              <w:t xml:space="preserve">Federal SAM.gov registration not required for this County contract; Vanntastic to confirm if held</w:t>
            </w:r>
          </w:p>
        </w:tc>
      </w:tr>
    </w:tbl>
    <w:p>
      <w:pPr>
        <w:pStyle w:val="BodyText"/>
      </w:pPr>
      <w:r>
        <w:rPr>
          <w:b/>
          <w:bCs/>
        </w:rPr>
        <w:t xml:space="preserve">The COLLABORATIVE Advocate Foundation (TCAF)</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Legal entity name</w:t>
            </w:r>
          </w:p>
        </w:tc>
        <w:tc>
          <w:tcPr/>
          <w:p>
            <w:pPr>
              <w:pStyle w:val="Compact"/>
              <w:jc w:val="left"/>
            </w:pPr>
            <w:r>
              <w:rPr>
                <w:b/>
                <w:bCs/>
              </w:rPr>
              <w:t xml:space="preserve">The COLLABORATIVE Advocate Foundation</w:t>
            </w:r>
          </w:p>
        </w:tc>
      </w:tr>
      <w:tr>
        <w:tc>
          <w:tcPr/>
          <w:p>
            <w:pPr>
              <w:pStyle w:val="Compact"/>
              <w:jc w:val="left"/>
            </w:pPr>
            <w:r>
              <w:t xml:space="preserve">Principal</w:t>
            </w:r>
          </w:p>
        </w:tc>
        <w:tc>
          <w:tcPr/>
          <w:p>
            <w:pPr>
              <w:pStyle w:val="Compact"/>
              <w:jc w:val="left"/>
            </w:pPr>
            <w:r>
              <w:rPr>
                <w:b/>
                <w:bCs/>
              </w:rPr>
              <w:t xml:space="preserve">Dr. Terry D. Flood, DHA — President</w:t>
            </w:r>
          </w:p>
        </w:tc>
      </w:tr>
      <w:tr>
        <w:tc>
          <w:tcPr/>
          <w:p>
            <w:pPr>
              <w:pStyle w:val="Compact"/>
              <w:jc w:val="left"/>
            </w:pPr>
            <w:r>
              <w:t xml:space="preserve">Mailing address</w:t>
            </w:r>
          </w:p>
        </w:tc>
        <w:tc>
          <w:tcPr/>
          <w:p>
            <w:pPr>
              <w:pStyle w:val="Compact"/>
              <w:jc w:val="left"/>
            </w:pPr>
            <w:r>
              <w:rPr>
                <w:b/>
                <w:bCs/>
              </w:rPr>
              <w:t xml:space="preserve">17912 Stefano Drive, Pflugerville, TX 78660-7020</w:t>
            </w:r>
            <w:r>
              <w:t xml:space="preserve"> </w:t>
            </w:r>
            <w:r>
              <w:t xml:space="preserve">c/o Terry D Flood Sr.</w:t>
            </w:r>
          </w:p>
        </w:tc>
      </w:tr>
      <w:tr>
        <w:tc>
          <w:tcPr/>
          <w:p>
            <w:pPr>
              <w:pStyle w:val="Compact"/>
              <w:jc w:val="left"/>
            </w:pPr>
            <w:r>
              <w:t xml:space="preserve">State of registration</w:t>
            </w:r>
          </w:p>
        </w:tc>
        <w:tc>
          <w:tcPr/>
          <w:p>
            <w:pPr>
              <w:pStyle w:val="Compact"/>
              <w:jc w:val="left"/>
            </w:pPr>
            <w:r>
              <w:rPr>
                <w:b/>
                <w:bCs/>
              </w:rPr>
              <w:t xml:space="preserve">Texas</w:t>
            </w:r>
          </w:p>
        </w:tc>
      </w:tr>
      <w:tr>
        <w:tc>
          <w:tcPr/>
          <w:p>
            <w:pPr>
              <w:pStyle w:val="Compact"/>
              <w:jc w:val="left"/>
            </w:pPr>
            <w:r>
              <w:t xml:space="preserve">Contact phone</w:t>
            </w:r>
          </w:p>
        </w:tc>
        <w:tc>
          <w:tcPr/>
          <w:p>
            <w:pPr>
              <w:pStyle w:val="Compact"/>
              <w:jc w:val="left"/>
            </w:pPr>
            <w:r>
              <w:rPr>
                <w:b/>
                <w:bCs/>
              </w:rPr>
              <w:t xml:space="preserve">254-319-8460</w:t>
            </w:r>
          </w:p>
        </w:tc>
      </w:tr>
      <w:tr>
        <w:tc>
          <w:tcPr/>
          <w:p>
            <w:pPr>
              <w:pStyle w:val="Compact"/>
              <w:jc w:val="left"/>
            </w:pPr>
            <w:r>
              <w:t xml:space="preserve">Contact email (institutional)</w:t>
            </w:r>
          </w:p>
        </w:tc>
        <w:tc>
          <w:tcPr/>
          <w:p>
            <w:pPr>
              <w:pStyle w:val="Compact"/>
              <w:jc w:val="left"/>
            </w:pPr>
            <w:hyperlink r:id="rId43">
              <w:r>
                <w:rPr>
                  <w:rStyle w:val="Hyperlink"/>
                  <w:b/>
                  <w:bCs/>
                </w:rPr>
                <w:t xml:space="preserve">terryflood@thrivingcommunitiesforall.com</w:t>
              </w:r>
            </w:hyperlink>
          </w:p>
        </w:tc>
      </w:tr>
      <w:tr>
        <w:tc>
          <w:tcPr/>
          <w:p>
            <w:pPr>
              <w:pStyle w:val="Compact"/>
              <w:jc w:val="left"/>
            </w:pPr>
            <w:r>
              <w:t xml:space="preserve">501(c)(3) status</w:t>
            </w:r>
          </w:p>
        </w:tc>
        <w:tc>
          <w:tcPr/>
          <w:p>
            <w:pPr>
              <w:pStyle w:val="Compact"/>
              <w:jc w:val="left"/>
            </w:pPr>
            <w:r>
              <w:rPr>
                <w:b/>
                <w:bCs/>
              </w:rPr>
              <w:t xml:space="preserve">YES — DETERMINED.</w:t>
            </w:r>
            <w:r>
              <w:t xml:space="preserve"> </w:t>
            </w:r>
            <w:r>
              <w:t xml:space="preserve">IRS Determination Letter 947, effective</w:t>
            </w:r>
            <w:r>
              <w:t xml:space="preserve"> </w:t>
            </w:r>
            <w:r>
              <w:rPr>
                <w:b/>
                <w:bCs/>
              </w:rPr>
              <w:t xml:space="preserve">January 14, 2026</w:t>
            </w:r>
            <w:r>
              <w:t xml:space="preserve">; classified as a public charity under</w:t>
            </w:r>
            <w:r>
              <w:t xml:space="preserve"> </w:t>
            </w:r>
            <w:r>
              <w:rPr>
                <w:b/>
                <w:bCs/>
              </w:rPr>
              <w:t xml:space="preserve">IRC §170(b)(1)(A)(vi)</w:t>
            </w:r>
            <w:r>
              <w:t xml:space="preserve">. Name control THEC. FY ends December 31.</w:t>
            </w:r>
          </w:p>
        </w:tc>
      </w:tr>
      <w:tr>
        <w:tc>
          <w:tcPr/>
          <w:p>
            <w:pPr>
              <w:pStyle w:val="Compact"/>
              <w:jc w:val="left"/>
            </w:pPr>
            <w:r>
              <w:t xml:space="preserve">UEI (SAM.gov)</w:t>
            </w:r>
          </w:p>
        </w:tc>
        <w:tc>
          <w:tcPr/>
          <w:p>
            <w:pPr>
              <w:pStyle w:val="Compact"/>
              <w:jc w:val="left"/>
            </w:pPr>
            <w:r>
              <w:rPr>
                <w:b/>
                <w:bCs/>
              </w:rPr>
              <w:t xml:space="preserve">KDDVD1FGLW35</w:t>
            </w:r>
          </w:p>
        </w:tc>
      </w:tr>
      <w:tr>
        <w:tc>
          <w:tcPr/>
          <w:p>
            <w:pPr>
              <w:pStyle w:val="Compact"/>
              <w:jc w:val="left"/>
            </w:pPr>
            <w:r>
              <w:t xml:space="preserve">EIN</w:t>
            </w:r>
          </w:p>
        </w:tc>
        <w:tc>
          <w:tcPr/>
          <w:p>
            <w:pPr>
              <w:pStyle w:val="Compact"/>
              <w:jc w:val="left"/>
            </w:pPr>
            <w:r>
              <w:rPr>
                <w:b/>
                <w:bCs/>
              </w:rPr>
              <w:t xml:space="preserve">41-3618003</w:t>
            </w:r>
          </w:p>
        </w:tc>
      </w:tr>
      <w:tr>
        <w:tc>
          <w:tcPr/>
          <w:p>
            <w:pPr>
              <w:pStyle w:val="Compact"/>
              <w:jc w:val="left"/>
            </w:pPr>
            <w:r>
              <w:t xml:space="preserve">CAGE code</w:t>
            </w:r>
          </w:p>
        </w:tc>
        <w:tc>
          <w:tcPr/>
          <w:p>
            <w:pPr>
              <w:pStyle w:val="Compact"/>
              <w:jc w:val="left"/>
            </w:pPr>
            <w:r>
              <w:rPr>
                <w:b/>
                <w:bCs/>
              </w:rPr>
              <w:t xml:space="preserve">209N1</w:t>
            </w:r>
          </w:p>
        </w:tc>
      </w:tr>
      <w:tr>
        <w:tc>
          <w:tcPr/>
          <w:p>
            <w:pPr>
              <w:pStyle w:val="Compact"/>
              <w:jc w:val="left"/>
            </w:pPr>
            <w:r>
              <w:t xml:space="preserve">SAM.gov registration status</w:t>
            </w:r>
          </w:p>
        </w:tc>
        <w:tc>
          <w:tcPr/>
          <w:p>
            <w:pPr>
              <w:pStyle w:val="Compact"/>
              <w:jc w:val="left"/>
            </w:pPr>
            <w:r>
              <w:rPr>
                <w:b/>
                <w:bCs/>
              </w:rPr>
              <w:t xml:space="preserve">ACTIVE</w:t>
            </w:r>
            <w:r>
              <w:t xml:space="preserve"> </w:t>
            </w:r>
            <w:r>
              <w:t xml:space="preserve">through</w:t>
            </w:r>
            <w:r>
              <w:t xml:space="preserve"> </w:t>
            </w:r>
            <w:r>
              <w:rPr>
                <w:b/>
                <w:bCs/>
              </w:rPr>
              <w:t xml:space="preserve">May 6, 2027</w:t>
            </w:r>
          </w:p>
        </w:tc>
      </w:tr>
      <w:tr>
        <w:tc>
          <w:tcPr/>
          <w:p>
            <w:pPr>
              <w:pStyle w:val="Compact"/>
              <w:jc w:val="left"/>
            </w:pPr>
            <w:r>
              <w:t xml:space="preserve">Dr. Flood credentials</w:t>
            </w:r>
          </w:p>
        </w:tc>
        <w:tc>
          <w:tcPr/>
          <w:p>
            <w:pPr>
              <w:pStyle w:val="Compact"/>
              <w:jc w:val="left"/>
            </w:pPr>
            <w:r>
              <w:rPr>
                <w:b/>
                <w:bCs/>
              </w:rPr>
              <w:t xml:space="preserve">DHA</w:t>
            </w:r>
            <w:r>
              <w:t xml:space="preserve"> </w:t>
            </w:r>
            <w:r>
              <w:t xml:space="preserve">(Doctor of Health Administration); data analysis, implementation science, and psychology graduate training;</w:t>
            </w:r>
            <w:r>
              <w:t xml:space="preserve"> </w:t>
            </w:r>
            <w:r>
              <w:rPr>
                <w:b/>
                <w:bCs/>
              </w:rPr>
              <w:t xml:space="preserve">CHW-I</w:t>
            </w:r>
            <w:r>
              <w:t xml:space="preserve"> </w:t>
            </w:r>
            <w:r>
              <w:t xml:space="preserve">(Community Health Worker — Instructor); responsible-AI certification;</w:t>
            </w:r>
            <w:r>
              <w:t xml:space="preserve"> </w:t>
            </w:r>
            <w:r>
              <w:rPr>
                <w:b/>
                <w:bCs/>
              </w:rPr>
              <w:t xml:space="preserve">PMP-eligible</w:t>
            </w:r>
            <w:r>
              <w:t xml:space="preserve">;</w:t>
            </w:r>
            <w:r>
              <w:t xml:space="preserve"> </w:t>
            </w:r>
            <w:r>
              <w:rPr>
                <w:b/>
                <w:bCs/>
              </w:rPr>
              <w:t xml:space="preserve">U.S. Army retiree</w:t>
            </w:r>
          </w:p>
        </w:tc>
      </w:tr>
      <w:tr>
        <w:tc>
          <w:tcPr/>
          <w:p>
            <w:pPr>
              <w:pStyle w:val="Compact"/>
              <w:jc w:val="left"/>
            </w:pPr>
            <w:r>
              <w:t xml:space="preserve">Dr. Flood Secret-level clearance</w:t>
            </w:r>
          </w:p>
        </w:tc>
        <w:tc>
          <w:tcPr/>
          <w:p>
            <w:pPr>
              <w:pStyle w:val="Compact"/>
              <w:jc w:val="left"/>
            </w:pPr>
            <w:r>
              <w:rPr>
                <w:b/>
                <w:bCs/>
              </w:rPr>
              <w:t xml:space="preserve">ACTIVE</w:t>
            </w:r>
            <w:r>
              <w:t xml:space="preserve"> </w:t>
            </w:r>
            <w:r>
              <w:t xml:space="preserve">U.S. government Secret-level clearance (current status verification will be furnished to the Prime in writing prior to submission)</w:t>
            </w:r>
          </w:p>
        </w:tc>
      </w:tr>
      <w:tr>
        <w:tc>
          <w:tcPr/>
          <w:p>
            <w:pPr>
              <w:pStyle w:val="Compact"/>
              <w:jc w:val="left"/>
            </w:pPr>
            <w:r>
              <w:t xml:space="preserve">Date established</w:t>
            </w:r>
          </w:p>
        </w:tc>
        <w:tc>
          <w:tcPr/>
          <w:p>
            <w:pPr>
              <w:pStyle w:val="Compact"/>
              <w:jc w:val="left"/>
            </w:pPr>
            <w:r>
              <w:rPr>
                <w:b/>
                <w:bCs/>
              </w:rPr>
              <w:t xml:space="preserve">January 14, 2026</w:t>
            </w:r>
            <w:r>
              <w:t xml:space="preserve"> </w:t>
            </w:r>
            <w:r>
              <w:t xml:space="preserve">(IRS EIN 41-3618003 assigned 1/14/2026 3:51 PM; 501(c)(3) determination Letter 947 effective same day; primary-source PDFs on file with the Prime)</w:t>
            </w:r>
          </w:p>
        </w:tc>
      </w:tr>
    </w:tbl>
    <w:bookmarkEnd w:id="117"/>
    <w:bookmarkStart w:id="118" w:name="appendix-g--proof-of-insurance"/>
    <w:p>
      <w:pPr>
        <w:pStyle w:val="Heading2"/>
      </w:pPr>
      <w:r>
        <w:t xml:space="preserve">Appendix G — Proof of Insurance</w:t>
      </w:r>
    </w:p>
    <w:p>
      <w:pPr>
        <w:pStyle w:val="FirstParagraph"/>
      </w:pPr>
      <w:r>
        <w:rPr>
          <w:i/>
          <w:iCs/>
        </w:rPr>
        <w:t xml:space="preserve">[To be inserted prior to submission:</w:t>
      </w:r>
    </w:p>
    <w:p>
      <w:pPr>
        <w:pStyle w:val="Compact"/>
        <w:numPr>
          <w:ilvl w:val="0"/>
          <w:numId w:val="1047"/>
        </w:numPr>
      </w:pPr>
      <w:r>
        <w:rPr>
          <w:i/>
          <w:iCs/>
        </w:rPr>
        <w:t xml:space="preserve">Letter of Insurability from the Prime's broker (Love Clinic &amp; Med Spa, LLC) on broker letterhead, confirming HIS can bind to all coverages specified in §11.2 prior to contract award.</w:t>
      </w:r>
    </w:p>
    <w:p>
      <w:pPr>
        <w:pStyle w:val="Compact"/>
        <w:numPr>
          <w:ilvl w:val="0"/>
          <w:numId w:val="1047"/>
        </w:numPr>
      </w:pPr>
      <w:r>
        <w:rPr>
          <w:i/>
          <w:iCs/>
        </w:rPr>
        <w:t xml:space="preserve">Current Certificates of Insurance for each named subcontractor (Love Clinic &amp; Med Spa, LLC, Vanntastic Solutions, The COLLABORATIVE Advocate Foundation).</w:t>
      </w:r>
    </w:p>
    <w:p>
      <w:pPr>
        <w:pStyle w:val="Compact"/>
        <w:numPr>
          <w:ilvl w:val="0"/>
          <w:numId w:val="1047"/>
        </w:numPr>
      </w:pPr>
      <w:r>
        <w:rPr>
          <w:i/>
          <w:iCs/>
        </w:rPr>
        <w:t xml:space="preserve">Sample COI template demonstrating Sedgwick County will be added as additional insured for GL and Auto (ongoing + completed operations) at contract award.]</w:t>
      </w:r>
    </w:p>
    <w:bookmarkEnd w:id="118"/>
    <w:bookmarkStart w:id="119" w:name="X392a85ca0b1d1bbf23fc5b5391419e005457e17"/>
    <w:p>
      <w:pPr>
        <w:pStyle w:val="Heading2"/>
      </w:pPr>
      <w:r>
        <w:t xml:space="preserve">Appendix I — Love Clinic &amp; Med Spa GLP Clinic Workflow (primary source, on file)</w:t>
      </w:r>
    </w:p>
    <w:p>
      <w:pPr>
        <w:pStyle w:val="FirstParagraph"/>
      </w:pPr>
      <w:r>
        <w:t xml:space="preserve">Source documents furnished by Dr. Chela Love on 2026-05-26 and held in the Love Clinic Prime due-diligence file, available to the County on request:</w:t>
      </w:r>
    </w:p>
    <w:p>
      <w:pPr>
        <w:pStyle w:val="Compact"/>
        <w:numPr>
          <w:ilvl w:val="0"/>
          <w:numId w:val="1048"/>
        </w:numPr>
      </w:pPr>
      <w:r>
        <w:rPr>
          <w:i/>
          <w:iCs/>
        </w:rPr>
        <w:t xml:space="preserve">Love Clinic &amp; Med Spa GLP Clinic Workflow</w:t>
      </w:r>
      <w:r>
        <w:t xml:space="preserve"> </w:t>
      </w:r>
      <w:r>
        <w:t xml:space="preserve">(10-step intake-to-maintenance pathway, signed Chela Love, DNP, FNP-C)</w:t>
      </w:r>
    </w:p>
    <w:p>
      <w:pPr>
        <w:pStyle w:val="Compact"/>
        <w:numPr>
          <w:ilvl w:val="0"/>
          <w:numId w:val="1048"/>
        </w:numPr>
      </w:pPr>
      <w:r>
        <w:rPr>
          <w:i/>
          <w:iCs/>
        </w:rPr>
        <w:t xml:space="preserve">GLP-1 Protocol</w:t>
      </w:r>
      <w:r>
        <w:t xml:space="preserve"> </w:t>
      </w:r>
      <w:r>
        <w:t xml:space="preserve">(detailed phase-by-phase protocol including baseline labs, education, titration, monthly follow-up, goal achievement, structured taper, and post-GLP maintenance)</w:t>
      </w:r>
    </w:p>
    <w:p>
      <w:pPr>
        <w:pStyle w:val="Compact"/>
        <w:numPr>
          <w:ilvl w:val="0"/>
          <w:numId w:val="1048"/>
        </w:numPr>
      </w:pPr>
      <w:r>
        <w:rPr>
          <w:i/>
          <w:iCs/>
        </w:rPr>
        <w:t xml:space="preserve">Love Clinic &amp; Med Spa Roles and Responsibilities</w:t>
      </w:r>
      <w:r>
        <w:t xml:space="preserve"> </w:t>
      </w:r>
      <w:r>
        <w:t xml:space="preserve">(organizational structure: Principal / Owner; Practice Manager; Medical Assistant — GLP weight-loss intake, vitals, injection administration, follow-up; front desk; aesthetic services)</w:t>
      </w:r>
    </w:p>
    <w:p>
      <w:pPr>
        <w:pStyle w:val="Compact"/>
        <w:numPr>
          <w:ilvl w:val="0"/>
          <w:numId w:val="1048"/>
        </w:numPr>
      </w:pPr>
      <w:r>
        <w:t xml:space="preserve">Resumes — Dr. Chela Love (DNP, FNP-C); Angie Funes (Office Manager / MA, bilingual EN/ES); Yorly Salazar (CCMA, CNA, bilingual EN/ES)</w:t>
      </w:r>
    </w:p>
    <w:p>
      <w:pPr>
        <w:pStyle w:val="FirstParagraph"/>
      </w:pPr>
      <w:r>
        <w:t xml:space="preserve">These materials are referenced in §3.2 (Clinical Lead) and §5.6 (GLP-1 Managed-Care Protocol). They are not separately bound into the public submission to minimize KORA exposure of Love Clinic's proprietary clinical workflow; they are available to the County or any evaluation-committee member on request.</w:t>
      </w:r>
    </w:p>
    <w:bookmarkEnd w:id="119"/>
    <w:bookmarkStart w:id="120" w:name="X868d1ab39436f12631f459a5f45316de86171cb"/>
    <w:p>
      <w:pPr>
        <w:pStyle w:val="Heading2"/>
      </w:pPr>
      <w:r>
        <w:t xml:space="preserve">Appendix H — Kansas Open Records Act (KORA) Privilege Log</w:t>
      </w:r>
    </w:p>
    <w:p>
      <w:pPr>
        <w:pStyle w:val="FirstParagraph"/>
      </w:pPr>
      <w:r>
        <w:t xml:space="preserve">Pursuant to KSA 45-215 et seq. (Kansas Open Records Act) and the KORA acknowledgment in Section 11.8, the proposing team identifies below all material in this proposal for which a KORA exemption is claimed.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Page / Section</w:t>
            </w:r>
          </w:p>
        </w:tc>
        <w:tc>
          <w:tcPr/>
          <w:p>
            <w:pPr>
              <w:pStyle w:val="Compact"/>
              <w:jc w:val="left"/>
            </w:pPr>
            <w:r>
              <w:t xml:space="preserve">Material</w:t>
            </w:r>
          </w:p>
        </w:tc>
        <w:tc>
          <w:tcPr/>
          <w:p>
            <w:pPr>
              <w:pStyle w:val="Compact"/>
              <w:jc w:val="left"/>
            </w:pPr>
            <w:r>
              <w:t xml:space="preserve">KORA Exemption Cited</w:t>
            </w:r>
          </w:p>
        </w:tc>
        <w:tc>
          <w:tcPr/>
          <w:p>
            <w:pPr>
              <w:pStyle w:val="Compact"/>
              <w:jc w:val="left"/>
            </w:pPr>
            <w:r>
              <w:t xml:space="preserve">Rationale</w:t>
            </w:r>
          </w:p>
        </w:tc>
      </w:tr>
      <w:tr>
        <w:tc>
          <w:tcPr/>
          <w:p>
            <w:pPr>
              <w:pStyle w:val="Compact"/>
              <w:jc w:val="left"/>
            </w:pPr>
            <w:r>
              <w:t xml:space="preserve">(none claimed)</w:t>
            </w:r>
          </w:p>
        </w:tc>
        <w:tc>
          <w:tcPr/>
          <w:p>
            <w:pPr>
              <w:pStyle w:val="Compact"/>
              <w:jc w:val="left"/>
            </w:pPr>
            <w:r>
              <w:t xml:space="preserve">(none claimed)</w:t>
            </w:r>
          </w:p>
        </w:tc>
        <w:tc>
          <w:tcPr/>
          <w:p>
            <w:pPr>
              <w:pStyle w:val="Compact"/>
              <w:jc w:val="left"/>
            </w:pPr>
            <w:r>
              <w:t xml:space="preserve">(none claimed)</w:t>
            </w:r>
          </w:p>
        </w:tc>
        <w:tc>
          <w:tcPr/>
          <w:p>
            <w:pPr>
              <w:pStyle w:val="Compact"/>
              <w:jc w:val="left"/>
            </w:pPr>
            <w:r>
              <w:t xml:space="preserve">The proposing team submits this proposal in full transparency and does not claim any KORA exemption for any material contained herein.</w:t>
            </w:r>
          </w:p>
        </w:tc>
      </w:tr>
    </w:tbl>
    <w:p>
      <w:pPr>
        <w:pStyle w:val="BodyText"/>
      </w:pPr>
      <w:r>
        <w:t xml:space="preserve">The proposing team understands that any KORA exemption not specifically claimed in this Privilege Log is waived and that the County retains sole authority over final KORA disclosure decisions.</w:t>
      </w:r>
    </w:p>
    <w:p>
      <w:r>
        <w:pict>
          <v:rect style="width:0;height:1.5pt" o:hralign="center" o:hrstd="t" o:hr="t"/>
        </w:pict>
      </w:r>
    </w:p>
    <w:p>
      <w:pPr>
        <w:pStyle w:val="FirstParagraph"/>
      </w:pPr>
      <w:r>
        <w:rPr>
          <w:b/>
          <w:bCs/>
        </w:rPr>
        <w:t xml:space="preserve">End of Proposal</w:t>
      </w:r>
    </w:p>
    <w:p>
      <w:pPr>
        <w:pStyle w:val="BodyText"/>
      </w:pPr>
      <w:r>
        <w:t xml:space="preserve">Vitality Weight Management Program · Response to Sedgwick County RFP #26-0028</w:t>
      </w:r>
      <w:r>
        <w:t xml:space="preserve"> </w:t>
      </w:r>
      <w:r>
        <w:t xml:space="preserve">Submitted by Love Clinic &amp; Med Spa, LLC (Prime Contractor)</w:t>
      </w:r>
      <w:r>
        <w:t xml:space="preserve"> </w:t>
      </w:r>
      <w:r>
        <w:t xml:space="preserve">In partnership with Hargrave Innovative Solutions · Vanntastic Solutions · The COLLABORATIVE Advocate Foundation</w:t>
      </w:r>
      <w:r>
        <w:t xml:space="preserve"> </w:t>
      </w:r>
      <w:r>
        <w:t xml:space="preserve">Program member portal: glpwellness.fit</w:t>
      </w:r>
      <w:r>
        <w:t xml:space="preserve"> </w:t>
      </w:r>
      <w:r>
        <w:t xml:space="preserve">June 2, 2026</w:t>
      </w:r>
    </w:p>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http://www.hisolution.org" TargetMode="External" /><Relationship Type="http://schemas.openxmlformats.org/officeDocument/2006/relationships/hyperlink" Id="rId41" Target="http://www.jmichellevann.com" TargetMode="External" /><Relationship Type="http://schemas.openxmlformats.org/officeDocument/2006/relationships/hyperlink" Id="rId39" Target="http://www.loveclinicmedspa.com" TargetMode="External" /><Relationship Type="http://schemas.openxmlformats.org/officeDocument/2006/relationships/hyperlink" Id="rId97" Target="mailto:Purchasing@sedgwick.gov" TargetMode="External" /><Relationship Type="http://schemas.openxmlformats.org/officeDocument/2006/relationships/hyperlink" Id="rId22" Target="mailto:chelalove@loveclinicmedspa.com" TargetMode="External" /><Relationship Type="http://schemas.openxmlformats.org/officeDocument/2006/relationships/hyperlink" Id="rId45" Target="mailto:ericd@hisolution.org" TargetMode="External" /><Relationship Type="http://schemas.openxmlformats.org/officeDocument/2006/relationships/hyperlink" Id="rId21" Target="mailto:purchasing@sedgwick.gov" TargetMode="External" /><Relationship Type="http://schemas.openxmlformats.org/officeDocument/2006/relationships/hyperlink" Id="rId43" Target="mailto:terryflood@thrivingcommunitiesforall.com" TargetMode="External" /></Relationships>
</file>

<file path=word/_rels/footnotes.xml.rels><?xml version="1.0" encoding="UTF-8"?><Relationships xmlns="http://schemas.openxmlformats.org/package/2006/relationships"><Relationship Type="http://schemas.openxmlformats.org/officeDocument/2006/relationships/hyperlink" Id="rId116" Target="http://www.hisolution.org" TargetMode="External" /><Relationship Type="http://schemas.openxmlformats.org/officeDocument/2006/relationships/hyperlink" Id="rId41" Target="http://www.jmichellevann.com" TargetMode="External" /><Relationship Type="http://schemas.openxmlformats.org/officeDocument/2006/relationships/hyperlink" Id="rId39" Target="http://www.loveclinicmedspa.com" TargetMode="External" /><Relationship Type="http://schemas.openxmlformats.org/officeDocument/2006/relationships/hyperlink" Id="rId97" Target="mailto:Purchasing@sedgwick.gov" TargetMode="External" /><Relationship Type="http://schemas.openxmlformats.org/officeDocument/2006/relationships/hyperlink" Id="rId22" Target="mailto:chelalove@loveclinicmedspa.com" TargetMode="External" /><Relationship Type="http://schemas.openxmlformats.org/officeDocument/2006/relationships/hyperlink" Id="rId45" Target="mailto:ericd@hisolution.org" TargetMode="External" /><Relationship Type="http://schemas.openxmlformats.org/officeDocument/2006/relationships/hyperlink" Id="rId21" Target="mailto:purchasing@sedgwick.gov" TargetMode="External" /><Relationship Type="http://schemas.openxmlformats.org/officeDocument/2006/relationships/hyperlink" Id="rId43" Target="mailto:terryflood@thrivingcommunitiesforal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