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80" w:before="80"/>
              <w:jc w:val="center"/>
            </w:pPr>
            <w:r>
              <w:rPr>
                <w:rFonts w:ascii="Arial" w:cs="Arial" w:eastAsia="Arial" w:hAnsi="Arial"/>
                <w:b/>
                <w:bCs/>
                <w:color w:val="FFFFFF"/>
                <w:sz w:val="36"/>
                <w:szCs w:val="36"/>
              </w:rPr>
              <w:t xml:space="preserve">LETTER OF INTENT</w:t>
            </w:r>
          </w:p>
          <w:p>
            <w:pPr>
              <w:spacing w:after="60" w:before="60"/>
              <w:jc w:val="center"/>
            </w:pPr>
            <w:r>
              <w:rPr>
                <w:rFonts w:ascii="Arial" w:cs="Arial" w:eastAsia="Arial" w:hAnsi="Arial"/>
                <w:b/>
                <w:bCs/>
                <w:color w:val="BDD7EE"/>
                <w:sz w:val="28"/>
                <w:szCs w:val="28"/>
              </w:rPr>
              <w:t xml:space="preserve">Open Source AI Model for Tutoring (EDU AI)</w:t>
            </w:r>
          </w:p>
          <w:p>
            <w:pPr>
              <w:spacing w:after="60" w:before="60"/>
              <w:jc w:val="center"/>
            </w:pPr>
            <w:r>
              <w:rPr>
                <w:rFonts w:ascii="Arial" w:cs="Arial" w:eastAsia="Arial" w:hAnsi="Arial"/>
                <w:color w:val="D6E4F0"/>
                <w:sz w:val="22"/>
                <w:szCs w:val="22"/>
              </w:rPr>
              <w:t xml:space="preserve">K-12 AI Infrastructure Program | Gates Foundation</w:t>
            </w:r>
          </w:p>
          <w:p>
            <w:pPr>
              <w:spacing w:after="80" w:before="60"/>
              <w:jc w:val="center"/>
            </w:pPr>
            <w:r>
              <w:rPr>
                <w:rFonts w:ascii="Arial" w:cs="Arial" w:eastAsia="Arial" w:hAnsi="Arial"/>
                <w:color w:val="D6E4F0"/>
                <w:sz w:val="20"/>
                <w:szCs w:val="20"/>
              </w:rPr>
              <w:t xml:space="preserve">Submitted by: The Collaborative Advocate Foundation (CAF) | May 25, 2026</w:t>
            </w:r>
          </w:p>
        </w:tc>
      </w:tr>
    </w:tbl>
    <w:p>
      <w:pPr>
        <w:spacing w:after="0" w:before="240"/>
      </w:pPr>
    </w:p>
    <w:p>
      <w:pPr>
        <w:pStyle w:val="Heading1"/>
        <w:pBdr>
          <w:bottom w:val="single" w:color="2E75B6" w:sz="6" w:space="4"/>
        </w:pBdr>
        <w:spacing w:after="80" w:before="320"/>
      </w:pPr>
      <w:r>
        <w:rPr>
          <w:rFonts w:ascii="Arial" w:cs="Arial" w:eastAsia="Arial" w:hAnsi="Arial"/>
          <w:b/>
          <w:bCs/>
          <w:color w:val="1F3864"/>
          <w:sz w:val="28"/>
          <w:szCs w:val="28"/>
        </w:rPr>
        <w:t xml:space="preserve">Grant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Information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Lead Organization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The Collaborative Advocate Foundation (CAF) | EIN 41-3618003 | Austin-area, Texas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2E"/>
                <w:sz w:val="20"/>
                <w:szCs w:val="20"/>
              </w:rPr>
              <w:t xml:space="preserve">Principal Investigator</w:t>
            </w:r>
          </w:p>
        </w:tc>
        <w:tc>
          <w:tcPr>
            <w:tcW w:type="dxa" w:w="6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Dr. Terry D. Flood, DHA | Senior Trainer GS-0101-11, Veterans Crisis Line; Founder/CEO, ISS LLC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Research Partner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Dartmouth College — Multiple faculty across Geisel School, MSIS Program, and AI/ML research labs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2E"/>
                <w:sz w:val="20"/>
                <w:szCs w:val="20"/>
              </w:rPr>
              <w:t xml:space="preserve">K–12 Practitioner Partner</w:t>
            </w:r>
          </w:p>
        </w:tc>
        <w:tc>
          <w:tcPr>
            <w:tcW w:type="dxa" w:w="6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Texas Empowerment Academy (TxEA) — PreK–12 charter, Austin TX, serving ELL, SpEd, Title I populations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Research Infrastructure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ISSS Platform — Implementation Science Support System, anchor site Pflugerville ISD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2E"/>
                <w:sz w:val="20"/>
                <w:szCs w:val="20"/>
              </w:rPr>
              <w:t xml:space="preserve">Target Grade Bands</w:t>
            </w:r>
          </w:p>
        </w:tc>
        <w:tc>
          <w:tcPr>
            <w:tcW w:type="dxa" w:w="6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All K–12, with primary emphasis on middle school (Grades 6–8)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Primary Equity Populations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English Learners (EL), Students with Learning Differences, Low-Income / Title I communities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1A2E"/>
                <w:sz w:val="20"/>
                <w:szCs w:val="20"/>
              </w:rPr>
              <w:t xml:space="preserve">LOI Submission Date</w:t>
            </w:r>
          </w:p>
        </w:tc>
        <w:tc>
          <w:tcPr>
            <w:tcW w:type="dxa" w:w="6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May 25, 2026</w:t>
            </w:r>
          </w:p>
        </w:tc>
      </w:tr>
    </w:tbl>
    <w:p>
      <w:pPr>
        <w:spacing w:after="0" w:before="120"/>
      </w:pPr>
    </w:p>
    <w:p>
      <w:pPr>
        <w:pStyle w:val="Heading1"/>
        <w:pBdr>
          <w:bottom w:val="single" w:color="2E75B6" w:sz="6" w:space="4"/>
        </w:pBdr>
        <w:spacing w:after="80" w:before="320"/>
      </w:pPr>
      <w:r>
        <w:rPr>
          <w:rFonts w:ascii="Arial" w:cs="Arial" w:eastAsia="Arial" w:hAnsi="Arial"/>
          <w:b/>
          <w:bCs/>
          <w:color w:val="1F3864"/>
          <w:sz w:val="28"/>
          <w:szCs w:val="28"/>
        </w:rPr>
        <w:t xml:space="preserve">Team Composition</w:t>
      </w:r>
    </w:p>
    <w:p>
      <w:pPr>
        <w:spacing w:after="100" w:before="80"/>
        <w:jc w:val="both"/>
      </w:pPr>
      <w:r>
        <w:rPr>
          <w:rFonts w:ascii="Arial" w:cs="Arial" w:eastAsia="Arial" w:hAnsi="Arial"/>
          <w:color w:val="1A1A2E"/>
          <w:sz w:val="22"/>
          <w:szCs w:val="22"/>
        </w:rPr>
        <w:t xml:space="preserve">Our team is uniquely positioned to conduct this work because we sit at the intersection of implementation science, equity-centered community practice, rigorous AI/ML research, and authentic K–12 classroom experience. The following table identifies participating organizations, roles, and the unique contributions each brings.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Project Role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Organization / Individual</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Unique Contribution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2E"/>
                <w:sz w:val="20"/>
                <w:szCs w:val="20"/>
              </w:rPr>
              <w:t xml:space="preserve">Principal Investigator / Project Director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Dr. Terry D. Flood, DHA (CAF / ISS LLC)</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Implementation science expertise (CFIR, RE-AIM, EPIS, PRISM), military-to-civilian systems design, veteran and marginalized community service, MS Implementation Science (Dartmouth, in progress), DHA from Virginia University of Lynchburg. Developer of RPLICE evaluation platform and SALP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ML / AI Engineers &amp; Learning Scientists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Dartmouth College — Multiple Faculty (Geisel, MSIS, AI/ML Labs)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Production-grade AI model development, open-weights fine-tuning, reinforcement learning, ablation study design, evaluation science, and educational measurement. Active collaboration with Dr. Flood through Dartmouth MSIS IS.732 (Evaluation of Experimental Trials Including Cost-Effectiveness). Faculty span computer science, education research, and health sciences — enabling cross-disciplinary rigor.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2E"/>
                <w:sz w:val="20"/>
                <w:szCs w:val="20"/>
              </w:rPr>
              <w:t xml:space="preserve">K–12 Practitioner Partner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Texas Empowerment Academy (TxEA), Austin TX</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Founded 1998. PreK–12 charter serving culturally and linguistically diverse Austin-area families including English Learners, students with special education needs, and low-income Title I populations. Provides real-classroom co-design and iterative testing contexts across all grade bands. Special Education department and ACE after-school program enable longitudinal student interaction data collection.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Research Infrastructure &amp; Data Platform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ISSS Platform (ISS LLC) — Pflugerville ISD anchor site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Implementation Science Support System — a research-grade digital infrastructure platform embedding CFIR/RE-AIM implementation frameworks into school-based practice. Serves as data collection backbone, fidelity monitoring layer, and evidence integration system. Anchor deployment in Pflugerville ISD (Grades 4–8). Provides IRB-ready data infrastructure and interoperable API hooks for model integration.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2E"/>
                <w:sz w:val="20"/>
                <w:szCs w:val="20"/>
              </w:rPr>
              <w:t xml:space="preserve">Connections Needed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Active outreach underway</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We are actively seeking formal partnership with: (1) a tutoring ed-tech platform (e.g., Khan Academy, Zearn, or Tutor.com) for product-level integration and pilot deployment; (2) NTO and TutorSim collaborators listed in the LOI, with whom we intend to establish data sharing agreements. We welcome Gates Foundation introductions.</w:t>
            </w:r>
          </w:p>
        </w:tc>
      </w:tr>
    </w:tbl>
    <w:p>
      <w:pPr>
        <w:spacing w:after="0" w:before="120"/>
      </w:pPr>
    </w:p>
    <w:p>
      <w:pPr>
        <w:spacing w:after="100" w:before="80"/>
        <w:jc w:val="both"/>
      </w:pPr>
      <w:r>
        <w:rPr>
          <w:rFonts w:ascii="Arial" w:cs="Arial" w:eastAsia="Arial" w:hAnsi="Arial"/>
          <w:color w:val="1A1A2E"/>
          <w:sz w:val="22"/>
          <w:szCs w:val="22"/>
        </w:rPr>
        <w:t xml:space="preserve">Why us? Dr. Flood's implementation science background — spanning CFIR, RE-AIM, EPIS, and PRISM frameworks — brings a dimension most AI model development teams lack: the ability to embed equity fidelity monitoring into the model development and deployment process itself. Our RPLICE platform and SALP framework were developed precisely to measure whether evidence-based practices are adopted with the depth and pace needed to produce equitable outcomes. That infrastructure, applied to AI tutoring, gives this project a rigorous accountability layer that goes beyond standard ML evaluation benchmarks.</w:t>
      </w:r>
    </w:p>
    <w:p>
      <w:r>
        <w:br w:type="page"/>
      </w:r>
    </w:p>
    <w:p>
      <w:pPr>
        <w:pStyle w:val="Heading1"/>
        <w:pBdr>
          <w:bottom w:val="single" w:color="2E75B6" w:sz="6" w:space="4"/>
        </w:pBdr>
        <w:spacing w:after="80" w:before="320"/>
      </w:pPr>
      <w:r>
        <w:rPr>
          <w:rFonts w:ascii="Arial" w:cs="Arial" w:eastAsia="Arial" w:hAnsi="Arial"/>
          <w:b/>
          <w:bCs/>
          <w:color w:val="1F3864"/>
          <w:sz w:val="28"/>
          <w:szCs w:val="28"/>
        </w:rPr>
        <w:t xml:space="preserve">Tutoring Goalposts</w:t>
      </w:r>
    </w:p>
    <w:p>
      <w:pPr>
        <w:spacing w:after="100" w:before="80"/>
        <w:jc w:val="both"/>
      </w:pPr>
      <w:r>
        <w:rPr>
          <w:rFonts w:ascii="Arial" w:cs="Arial" w:eastAsia="Arial" w:hAnsi="Arial"/>
          <w:color w:val="1A1A2E"/>
          <w:sz w:val="22"/>
          <w:szCs w:val="22"/>
        </w:rPr>
        <w:t xml:space="preserve">We affirm the six illustrative failure modes identified in the LOI and propose the following refined goalposts and evaluation strategies. We also add one additional goalpost — an English Learner Equity Gap metric — which we believe is essential given our target populations and is currently absent from the LOI framework.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Barrier</w:t>
            </w:r>
          </w:p>
        </w:tc>
        <w:tc>
          <w:tcPr>
            <w:tcW w:type="dxa" w:w="32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Our Proposed Goalpost</w:t>
            </w:r>
          </w:p>
        </w:tc>
        <w:tc>
          <w:tcPr>
            <w:tcW w:type="dxa" w:w="38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 / Evaluation Strategy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2E"/>
                <w:sz w:val="20"/>
                <w:szCs w:val="20"/>
              </w:rPr>
              <w:t xml:space="preserve">Verbosity / Turn Dominance</w:t>
            </w:r>
          </w:p>
        </w:tc>
        <w:tc>
          <w:tcPr>
            <w:tcW w:type="dxa" w:w="32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Reduce AI turn length to match expert human tutor patterns (avg. 1–2 sentences per turn). Model should create pause space and elicit student response before continuing.</w:t>
            </w:r>
          </w:p>
        </w:tc>
        <w:tc>
          <w:tcPr>
            <w:tcW w:type="dxa" w:w="3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Token-per-turn ratio against NTO Million Tutor Moves baseline; human tutor inter-rater coding of session transcripts for turn equity.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Helpful Assistant / Solver Bias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Model should scaffold productive struggle — answering &lt;15% of direct computation questions directly; favoring Socratic prompting, worked example reference, and metacognitive questioning.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TutorSim simulated student interaction benchmarks; DPO reward modeling trained on Vanderbilt misconception datasets; post-session student learning gain (pre/post assessment delta).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2E"/>
                <w:sz w:val="20"/>
                <w:szCs w:val="20"/>
              </w:rPr>
              <w:t xml:space="preserve">Misconception vs. Slip Recognition</w:t>
            </w:r>
          </w:p>
        </w:tc>
        <w:tc>
          <w:tcPr>
            <w:tcW w:type="dxa" w:w="32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Model must distinguish conceptual misconception (requiring re-teaching) from procedural slip (requiring acknowledgment) at ≥75% accuracy on annotated test set, triggering differentiated response strategies.</w:t>
            </w:r>
          </w:p>
        </w:tc>
        <w:tc>
          <w:tcPr>
            <w:tcW w:type="dxa" w:w="3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Vanderbilt MAP misconception dataset; SFT on expert-annotated tutor response pairs; ablation comparing prompt-only vs. fine-tuned classification heads.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Affect Detection &amp; Motivation Modeling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Model must reliably distinguish productive frustration from disengagement, adapting pacing and tone accordingly. Particular priority for EL students and those with learning differences where affect signals may differ from normative training data.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Multimodal annotation from UMD Classroom Dataset (text + audio); inter-rater reliability coding of affect labels across culturally diverse TxEA student sample; student self-report validation.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2E"/>
                <w:sz w:val="20"/>
                <w:szCs w:val="20"/>
              </w:rPr>
              <w:t xml:space="preserve">Contextual Drift (Long-Session Fidelity)</w:t>
            </w:r>
          </w:p>
        </w:tc>
        <w:tc>
          <w:tcPr>
            <w:tcW w:type="dxa" w:w="32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Model must maintain pedagogical rule fidelity (scaffolding, student model, affect) across full 45-min session without reverting to generic helpful-assistant behavior. Especially critical for middle school sessions where engagement arcs are longest.</w:t>
            </w:r>
          </w:p>
        </w:tc>
        <w:tc>
          <w:tcPr>
            <w:tcW w:type="dxa" w:w="3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Long-context harness evaluation at 15/30/45-min checkpoints; RPLICE platform fidelity scoring against pre-defined pedagogical rule sets; implementation science fidelity metrics adapted from CFIR.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EL / Multilingual Equity Gap (New Addition)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 propose adding an explicit EL equity goalpost: model performance on math tutoring tasks should not degrade significantly for English Learner students compared to English-proficient peers. Multilingual scaffolding and code-switching support are proposed model capabilities.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Disaggregated outcome analysis by EL status using TxEA student dataset; Qwen2.5 multilingual base model evaluation vs. monolingual baselines; SCALE benchmark disaggregation.</w:t>
            </w:r>
          </w:p>
        </w:tc>
      </w:tr>
    </w:tbl>
    <w:p>
      <w:pPr>
        <w:spacing w:after="0" w:before="120"/>
      </w:pPr>
    </w:p>
    <w:p>
      <w:pPr>
        <w:spacing w:after="100" w:before="80"/>
        <w:jc w:val="both"/>
      </w:pPr>
      <w:r>
        <w:rPr>
          <w:rFonts w:ascii="Arial" w:cs="Arial" w:eastAsia="Arial" w:hAnsi="Arial"/>
          <w:color w:val="1A1A2E"/>
          <w:sz w:val="22"/>
          <w:szCs w:val="22"/>
        </w:rPr>
        <w:t xml:space="preserve">Cross-cutting evaluation principle: All goalposts will be evaluated with equity-disaggregated analysis by student subgroup (EL status, IEP status, income level, grade band). A model that achieves average improvement while widening equity gaps will not be considered successful by our team. This is a non-negotiable design commitment.</w:t>
      </w:r>
    </w:p>
    <w:p>
      <w:r>
        <w:br w:type="page"/>
      </w:r>
    </w:p>
    <w:p>
      <w:pPr>
        <w:pStyle w:val="Heading1"/>
        <w:pBdr>
          <w:bottom w:val="single" w:color="2E75B6" w:sz="6" w:space="4"/>
        </w:pBdr>
        <w:spacing w:after="80" w:before="320"/>
      </w:pPr>
      <w:r>
        <w:rPr>
          <w:rFonts w:ascii="Arial" w:cs="Arial" w:eastAsia="Arial" w:hAnsi="Arial"/>
          <w:b/>
          <w:bCs/>
          <w:color w:val="1F3864"/>
          <w:sz w:val="28"/>
          <w:szCs w:val="28"/>
        </w:rPr>
        <w:t xml:space="preserve">Phases &amp; Milestones</w:t>
      </w:r>
    </w:p>
    <w:p>
      <w:pPr>
        <w:spacing w:after="100" w:before="80"/>
        <w:jc w:val="both"/>
      </w:pPr>
      <w:r>
        <w:rPr>
          <w:rFonts w:ascii="Arial" w:cs="Arial" w:eastAsia="Arial" w:hAnsi="Arial"/>
          <w:color w:val="1A1A2E"/>
          <w:sz w:val="22"/>
          <w:szCs w:val="22"/>
        </w:rPr>
        <w:t xml:space="preserve">We propose a four-phase structure aligned with the LOI's illustrative framework, with modifications that reflect our equity-first design approach and the integration of our ISSS/RPLICE research infrastructure throughout the project lifecycle.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 &amp; Timeline</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Activities / Milestones</w:t>
            </w:r>
          </w:p>
        </w:tc>
        <w:tc>
          <w:tcPr>
            <w:tcW w:type="dxa" w:w="38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CAF/ISSS-Specific Contributions</w:t>
            </w:r>
          </w:p>
        </w:tc>
      </w:tr>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Phase 1: Foundation &amp; Equity Design (Months 1–9)</w:t>
            </w:r>
          </w:p>
        </w:tc>
        <w:tc>
          <w:tcPr>
            <w:tcW w:type="dxa" w:w="3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Dataset curation (NTO, SCALE, TutorSim, Vanderbilt MAP, UMD Classroom). IRB approval and data sharing agreements. Open-weights base model selection (LLaMA 3, Qwen2.5, Mistral evaluated in parallel). Inclusive co-design sessions with TxEA teachers, students, and special education staff. MILESTONE: Annotated EL/SpEd-enriched dataset; baseline model selected; practitioner review complete.</w:t>
            </w:r>
          </w:p>
        </w:tc>
        <w:tc>
          <w:tcPr>
            <w:tcW w:type="dxa" w:w="3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CAF leads community co-design facilitation. ISSS platform configured as data collection and fidelity tracking backbone. Dr. Flood leads implementation science framework integration (CFIR inner/outer setting mapping for TxEA context).</w:t>
            </w:r>
          </w:p>
        </w:tc>
      </w:tr>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Phase 2: Model Training &amp; Iterative Evaluation (Months 10–18)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Dartmouth-led SFT and DPO/RLHF training cycles. Ablation studies across base model variants, fine-tuning techniques, and RAG configurations. TxEA classroom MVP deployment. Misconception classifier training on Vanderbilt dataset. MILESTONE: Goalpost benchmark improvement over frontier baseline; tutor MVP in active classroom use; ablation documentation complete.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RPLICE platform deployed for fidelity scoring and implementation pace analysis. ISSS aggregates student interaction logs for learning outcome linkage. SALP framework applied to identify systemic barriers to equitable tutoring adoption.</w:t>
            </w:r>
          </w:p>
        </w:tc>
      </w:tr>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Phase 3: Partner Integration &amp; Field Testing (Months 19–30)</w:t>
            </w:r>
          </w:p>
        </w:tc>
        <w:tc>
          <w:tcPr>
            <w:tcW w:type="dxa" w:w="3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vLLM/SGLang deployment at scale. Ed-tech platform integration (API-level). Equity-disaggregated evaluation across EL, SpEd, and Title I student subgroups at TxEA. Implementation playbooks authored. Risk and bias audit conducted. MILESTONE: Large-scale pilot with ≥200 students; full cost and latency analysis; equity report published.</w:t>
            </w:r>
          </w:p>
        </w:tc>
        <w:tc>
          <w:tcPr>
            <w:tcW w:type="dxa" w:w="3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2E"/>
                <w:sz w:val="20"/>
                <w:szCs w:val="20"/>
              </w:rPr>
              <w:t xml:space="preserve">CAF leads community stakeholder engagement and family consent processes. ISS LLC manages SDVOSB-eligible sub-contracting. ISSS provides interoperable data API for ed-tech partner integration. Dr. Flood leads bias mitigation review using implementation science fidelity lens.</w:t>
            </w:r>
          </w:p>
        </w:tc>
      </w:tr>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Phase 4: Open Release &amp; Stewardship (Months 31–36)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Public release of model weights, training data (where permissible), fine-tuning playbooks, and operational API. Transition to Dartmouth as steward institution with community governance structure. Dissemination via AIMS Collaboratory and Springer Nature Implementation Science. MILESTONE: Model adopted by ≥3 organizations; benchmark established; peer-reviewed publication submitted.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CAF leads community governance framework design. RPLICE and SALP findings submitted for peer review. Dr. Flood presents at implementation science venues. ISSS open-sources data infrastructure components as digital public goods.</w:t>
            </w:r>
          </w:p>
        </w:tc>
      </w:tr>
    </w:tbl>
    <w:p>
      <w:r>
        <w:br w:type="page"/>
      </w:r>
    </w:p>
    <w:p>
      <w:pPr>
        <w:pStyle w:val="Heading1"/>
        <w:pBdr>
          <w:bottom w:val="single" w:color="2E75B6" w:sz="6" w:space="4"/>
        </w:pBdr>
        <w:spacing w:after="80" w:before="320"/>
      </w:pPr>
      <w:r>
        <w:rPr>
          <w:rFonts w:ascii="Arial" w:cs="Arial" w:eastAsia="Arial" w:hAnsi="Arial"/>
          <w:b/>
          <w:bCs/>
          <w:color w:val="1F3864"/>
          <w:sz w:val="28"/>
          <w:szCs w:val="28"/>
        </w:rPr>
        <w:t xml:space="preserve">Architectural Approach</w:t>
      </w:r>
    </w:p>
    <w:p>
      <w:pPr>
        <w:spacing w:after="100" w:before="80"/>
        <w:jc w:val="both"/>
      </w:pPr>
      <w:r>
        <w:rPr>
          <w:rFonts w:ascii="Arial" w:cs="Arial" w:eastAsia="Arial" w:hAnsi="Arial"/>
          <w:color w:val="1A1A2E"/>
          <w:sz w:val="22"/>
          <w:szCs w:val="22"/>
        </w:rPr>
        <w:t xml:space="preserve">Our architectural approach is grounded in three convictions: (1) no single open-weights model is optimal for all equity populations served, (2) the "helpful assistant" bias is a training alignment failure that requires post-training intervention — not prompt engineering — to resolve, and (3) a production-grade tutoring model must be modular, low-latency, and independently replicable as a true digital public good.</w:t>
      </w:r>
    </w:p>
    <w:p>
      <w:pPr>
        <w:spacing w:after="60" w:before="60"/>
      </w:pPr>
    </w:p>
    <w:p>
      <w:pPr>
        <w:spacing w:after="100" w:before="80"/>
        <w:jc w:val="both"/>
      </w:pPr>
      <w:r>
        <w:rPr>
          <w:rFonts w:ascii="Arial" w:cs="Arial" w:eastAsia="Arial" w:hAnsi="Arial"/>
          <w:color w:val="1A1A2E"/>
          <w:sz w:val="22"/>
          <w:szCs w:val="22"/>
        </w:rPr>
        <w:t xml:space="preserve">BASE MODEL STRATEGY: We will conduct parallel evaluation of three open-weights base models — LLaMA 3 (Meta), Qwen2.5 (strong multilingual performance critical for EL students), and Mistral/Mixtral (efficient inference, strong mathematical reasoning) — selecting the optimal base or ensemble per sub-task through controlled ablation studies. This multi-model evaluation is a deliberate design choice: our equity mandate requires us not to assume that an English-dominant training corpus is sufficient for our target populations.</w:t>
      </w:r>
    </w:p>
    <w:p>
      <w:pPr>
        <w:spacing w:after="60" w:before="60"/>
      </w:pPr>
    </w:p>
    <w:p>
      <w:pPr>
        <w:spacing w:after="100" w:before="80"/>
        <w:jc w:val="both"/>
      </w:pPr>
      <w:r>
        <w:rPr>
          <w:rFonts w:ascii="Arial" w:cs="Arial" w:eastAsia="Arial" w:hAnsi="Arial"/>
          <w:color w:val="1A1A2E"/>
          <w:sz w:val="22"/>
          <w:szCs w:val="22"/>
        </w:rPr>
        <w:t xml:space="preserve">POST-TRAINING APPROACH: We propose a three-stage post-training pipeline. First, Supervised Fine-Tuning (SFT) on expert-annotated tutoring interactions drawn from the NTO Million Tutor Moves dataset, TutorSim benchmark data, and new TxEA-sourced classroom transcripts annotated by learning scientists. Second, Direct Preference Optimization (DPO) trained on contrastive pairs — expert tutor move versus typical frontier model response — to structurally suppress solver bias and verbosity without degrading mathematical reasoning. Third, Reinforcement Learning from Human Feedback (RLHF) using real student learning gain signals as the reward function, enabling the model to optimize for actual learning outcomes rather than perceived helpfulness.</w:t>
      </w:r>
    </w:p>
    <w:p>
      <w:pPr>
        <w:spacing w:after="60" w:before="60"/>
      </w:pPr>
    </w:p>
    <w:p>
      <w:pPr>
        <w:spacing w:after="100" w:before="80"/>
        <w:jc w:val="both"/>
      </w:pPr>
      <w:r>
        <w:rPr>
          <w:rFonts w:ascii="Arial" w:cs="Arial" w:eastAsia="Arial" w:hAnsi="Arial"/>
          <w:color w:val="1A1A2E"/>
          <w:sz w:val="22"/>
          <w:szCs w:val="22"/>
        </w:rPr>
        <w:t xml:space="preserve">RETRIEVAL &amp; KNOWLEDGE GROUNDING: A Retrieval-Augmented Generation (RAG) layer will ground the model in high-quality instructional materials (curriculum-aligned worked examples, learning progressions, standards-mapped problem sets) while keeping the model weights lean for local replication. We will conduct ablation studies comparing: (a) prompt-only RAG, (b) fine-tuned retrieval heads, and (c) hybrid approaches, measuring impact on accuracy, latency, and cost.</w:t>
      </w:r>
    </w:p>
    <w:p>
      <w:pPr>
        <w:spacing w:after="60" w:before="60"/>
      </w:pPr>
    </w:p>
    <w:p>
      <w:pPr>
        <w:spacing w:after="100" w:before="80"/>
        <w:jc w:val="both"/>
      </w:pPr>
      <w:r>
        <w:rPr>
          <w:rFonts w:ascii="Arial" w:cs="Arial" w:eastAsia="Arial" w:hAnsi="Arial"/>
          <w:color w:val="1A1A2E"/>
          <w:sz w:val="22"/>
          <w:szCs w:val="22"/>
        </w:rPr>
        <w:t xml:space="preserve">STUDENT MODELING &amp; CONTEXT MANAGEMENT: To address contextual drift in long sessions, we will implement a lightweight agentic harness that maintains a persistent student model — tracking knowledge state, misconception history, motivational signals, and linguistic background — injected as structured context at each turn. This harness is designed to be modular and interoperable with ed-tech platforms via a standard API, and will be open-sourced as a standalone component.</w:t>
      </w:r>
    </w:p>
    <w:p>
      <w:pPr>
        <w:spacing w:after="60" w:before="60"/>
      </w:pPr>
    </w:p>
    <w:p>
      <w:pPr>
        <w:spacing w:after="100" w:before="80"/>
        <w:jc w:val="both"/>
      </w:pPr>
      <w:r>
        <w:rPr>
          <w:rFonts w:ascii="Arial" w:cs="Arial" w:eastAsia="Arial" w:hAnsi="Arial"/>
          <w:color w:val="1A1A2E"/>
          <w:sz w:val="22"/>
          <w:szCs w:val="22"/>
        </w:rPr>
        <w:t xml:space="preserve">COST, LATENCY &amp; SAFETY: All design choices will be evaluated against the constraint of human-tutor-equivalent response latency (&lt;3 seconds) and low per-interaction cost suitable for Title I district deployment. Safety, anti-harm, and bias mitigation — particularly for EL students and students with learning differences — will be evaluated using our RPLICE platform's equity-disaggregated fidelity scoring against CFIR-grounded implementation benchmarks.</w:t>
      </w:r>
    </w:p>
    <w:p>
      <w:pPr>
        <w:pStyle w:val="Heading1"/>
        <w:pBdr>
          <w:bottom w:val="single" w:color="2E75B6" w:sz="6" w:space="4"/>
        </w:pBdr>
        <w:spacing w:after="80" w:before="320"/>
      </w:pPr>
      <w:r>
        <w:rPr>
          <w:rFonts w:ascii="Arial" w:cs="Arial" w:eastAsia="Arial" w:hAnsi="Arial"/>
          <w:b/>
          <w:bCs/>
          <w:color w:val="1F3864"/>
          <w:sz w:val="28"/>
          <w:szCs w:val="28"/>
        </w:rPr>
        <w:t xml:space="preserve">Data Acquisition Plan</w:t>
      </w:r>
    </w:p>
    <w:p>
      <w:pPr>
        <w:spacing w:after="100" w:before="80"/>
        <w:jc w:val="both"/>
      </w:pPr>
      <w:r>
        <w:rPr>
          <w:rFonts w:ascii="Arial" w:cs="Arial" w:eastAsia="Arial" w:hAnsi="Arial"/>
          <w:color w:val="1A1A2E"/>
          <w:sz w:val="22"/>
          <w:szCs w:val="22"/>
        </w:rPr>
        <w:t xml:space="preserve">Our data acquisition strategy leverages existing LOI-referenced datasets alongside novel data collection through our practitioner partner.</w:t>
      </w:r>
    </w:p>
    <w:p>
      <w:pPr>
        <w:spacing w:after="60" w:before="60"/>
      </w:pPr>
    </w:p>
    <w:p>
      <w:pPr>
        <w:spacing w:after="100" w:before="80"/>
        <w:jc w:val="both"/>
      </w:pPr>
      <w:r>
        <w:rPr>
          <w:rFonts w:ascii="Arial" w:cs="Arial" w:eastAsia="Arial" w:hAnsi="Arial"/>
          <w:color w:val="1A1A2E"/>
          <w:sz w:val="22"/>
          <w:szCs w:val="22"/>
        </w:rPr>
        <w:t xml:space="preserve">EXISTING DATASETS: We will seek formal data access agreements with: NTO Million Tutor Moves dataset (Purdue/MIT — PI Kizilcec and Reich); TutorSim benchmark (Stanford — PI Loeb); Vanderbilt MAP Misconceptions dataset (Rittle-Johnson, Crossley, Durkin); and UMD Open-Source Multimodal Math Classroom Dataset (PI Liu). These agreements are in early-stage outreach as of LOI submission and will be formalized during Phase 1.</w:t>
      </w:r>
    </w:p>
    <w:p>
      <w:pPr>
        <w:spacing w:after="60" w:before="60"/>
      </w:pPr>
    </w:p>
    <w:p>
      <w:pPr>
        <w:spacing w:after="100" w:before="80"/>
        <w:jc w:val="both"/>
      </w:pPr>
      <w:r>
        <w:rPr>
          <w:rFonts w:ascii="Arial" w:cs="Arial" w:eastAsia="Arial" w:hAnsi="Arial"/>
          <w:color w:val="1A1A2E"/>
          <w:sz w:val="22"/>
          <w:szCs w:val="22"/>
        </w:rPr>
        <w:t xml:space="preserve">NOVEL DATA COLLECTION: Texas Empowerment Academy will serve as our primary real-world data collection site. With IRB approval and family consent managed through CAF's established community trust relationships, we will collect: (a) AI-student interaction transcripts across EL, SpEd, and general education populations; (b) multimodal session data including audio and text; (c) pre/post assessment learning gain measures aligned to STAAR/grade-level standards. TxEA's ACE after-school program provides an additional low-stakes data collection environment.</w:t>
      </w:r>
    </w:p>
    <w:p>
      <w:pPr>
        <w:spacing w:after="60" w:before="60"/>
      </w:pPr>
    </w:p>
    <w:p>
      <w:pPr>
        <w:spacing w:after="100" w:before="80"/>
        <w:jc w:val="both"/>
      </w:pPr>
      <w:r>
        <w:rPr>
          <w:rFonts w:ascii="Arial" w:cs="Arial" w:eastAsia="Arial" w:hAnsi="Arial"/>
          <w:color w:val="1A1A2E"/>
          <w:sz w:val="22"/>
          <w:szCs w:val="22"/>
        </w:rPr>
        <w:t xml:space="preserve">RESEARCH INFRASTRUCTURE: The ISSS platform will serve as the IRB-ready, privacy-compliant data management and fidelity monitoring system. All data handling will comply with FERPA, COPPA, and Texas Education Code privacy requirements. Dartmouth will manage data governance and IRB oversight for research activities.</w:t>
      </w:r>
    </w:p>
    <w:p>
      <w:pPr>
        <w:pStyle w:val="Heading1"/>
        <w:pBdr>
          <w:bottom w:val="single" w:color="2E75B6" w:sz="6" w:space="4"/>
        </w:pBdr>
        <w:spacing w:after="80" w:before="320"/>
      </w:pPr>
      <w:r>
        <w:rPr>
          <w:rFonts w:ascii="Arial" w:cs="Arial" w:eastAsia="Arial" w:hAnsi="Arial"/>
          <w:b/>
          <w:bCs/>
          <w:color w:val="1F3864"/>
          <w:sz w:val="28"/>
          <w:szCs w:val="28"/>
        </w:rPr>
        <w:t xml:space="preserve">Intent to Respond</w:t>
      </w:r>
    </w:p>
    <w:p>
      <w:pPr>
        <w:spacing w:after="100" w:before="80"/>
        <w:jc w:val="both"/>
      </w:pPr>
      <w:r>
        <w:rPr>
          <w:rFonts w:ascii="Arial" w:cs="Arial" w:eastAsia="Arial" w:hAnsi="Arial"/>
          <w:color w:val="1A1A2E"/>
          <w:sz w:val="22"/>
          <w:szCs w:val="22"/>
        </w:rPr>
        <w:t xml:space="preserve">The Collaborative Advocate Foundation (CAF) confirms strong intent to submit a full grant proposal in response to this RFP. Our team is assembled, our K–12 practitioner and research partnerships are active, and our research infrastructure (ISSS platform, RPLICE evaluation system) is operational. Dr. Terry D. Flood will serve as PI with Dartmouth College faculty as co-investigators and Texas Empowerment Academy as our primary practitioner partner. No major constraints affect our ability to proceed. Primary near-term actions: formalize Dartmouth faculty MOU, execute data sharing agreements with NTO and TutorSim, and identify ed-tech platform partner for Phase 3 product integration. We welcome Gates Foundation facilitation of those connections.</w:t>
      </w:r>
    </w:p>
    <w:p>
      <w:pPr>
        <w:spacing w:after="0" w:before="320"/>
      </w:pPr>
    </w:p>
    <w:p>
      <w:pPr>
        <w:pBdr>
          <w:bottom w:val="single" w:color="2E75B6" w:sz="8" w:space="4"/>
        </w:pBdr>
        <w:spacing w:after="200" w:before="60"/>
      </w:pPr>
    </w:p>
    <w:p>
      <w:pPr>
        <w:jc w:val="center"/>
      </w:pPr>
      <w:r>
        <w:rPr>
          <w:rFonts w:ascii="Arial" w:cs="Arial" w:eastAsia="Arial" w:hAnsi="Arial"/>
          <w:i/>
          <w:iCs/>
          <w:color w:val="595959"/>
          <w:sz w:val="18"/>
          <w:szCs w:val="18"/>
        </w:rPr>
        <w:t xml:space="preserve">The Collaborative Advocate Foundation (CAF) | EIN 41-3618003 | Austin-area, Texas | info@txea.org</w:t>
      </w:r>
    </w:p>
    <w:p>
      <w:pPr>
        <w:jc w:val="center"/>
      </w:pPr>
      <w:r>
        <w:rPr>
          <w:rFonts w:ascii="Arial" w:cs="Arial" w:eastAsia="Arial" w:hAnsi="Arial"/>
          <w:i/>
          <w:iCs/>
          <w:color w:val="595959"/>
          <w:sz w:val="18"/>
          <w:szCs w:val="18"/>
        </w:rPr>
        <w:t xml:space="preserve">PI: Dr. Terry D. Flood, DHA | LOI Submitted May 25, 2026 | Gates Foundation EDU AI Grant Opportunity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2026-05-11T23:07:53.027Z</dcterms:created>
  <dcterms:modified xsi:type="dcterms:W3CDTF">2026-05-11T23:07:53.027Z</dcterms:modified>
</cp:coreProperties>
</file>

<file path=docProps/custom.xml><?xml version="1.0" encoding="utf-8"?>
<Properties xmlns="http://schemas.openxmlformats.org/officeDocument/2006/custom-properties" xmlns:vt="http://schemas.openxmlformats.org/officeDocument/2006/docPropsVTypes"/>
</file>