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jc w:val="center"/>
      </w:pPr>
      <w:r>
        <w:rPr>
          <w:rFonts w:ascii="Calibri" w:hAnsi="Calibri"/>
          <w:b/>
          <w:i w:val="0"/>
          <w:color w:val="163A5F"/>
          <w:sz w:val="50"/>
        </w:rPr>
        <w:t>HUD Youth Homelessness RFP</w:t>
      </w:r>
    </w:p>
    <w:p>
      <w:pPr>
        <w:spacing w:after="360"/>
        <w:jc w:val="center"/>
      </w:pPr>
      <w:r>
        <w:rPr>
          <w:rFonts w:ascii="Calibri" w:hAnsi="Calibri"/>
          <w:b w:val="0"/>
          <w:i w:val="0"/>
          <w:color w:val="2E74B5"/>
          <w:sz w:val="30"/>
        </w:rPr>
        <w:t>Proposal Development and Submission Process Guide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163A5F"/>
                <w:sz w:val="19"/>
              </w:rPr>
              <w:t>Key Item</w:t>
            </w:r>
          </w:p>
        </w:tc>
        <w:tc>
          <w:tcPr>
            <w:tcW w:type="dxa" w:w="7160"/>
            <w:shd w:fill="E8EEF5"/>
            <w:vAlign w:val="center"/>
            <w:tcMar>
              <w:top w:w="80" w:type="dxa"/>
              <w:start w:w="120" w:type="dxa"/>
              <w:bottom w:w="80" w:type="dxa"/>
              <w:end w:w="120" w:type="dxa"/>
            </w:tcMar>
          </w:tcPr>
          <w:p>
            <w:pPr>
              <w:spacing w:after="0"/>
            </w:pPr>
            <w:r>
              <w:rPr>
                <w:rFonts w:ascii="Calibri" w:hAnsi="Calibri"/>
                <w:b/>
                <w:i w:val="0"/>
                <w:color w:val="163A5F"/>
                <w:sz w:val="19"/>
              </w:rPr>
              <w:t>Current Working Position</w:t>
            </w:r>
          </w:p>
        </w:tc>
      </w:tr>
      <w:tr>
        <w:tc>
          <w:tcPr>
            <w:tcW w:type="dxa" w:w="2200"/>
            <w:vAlign w:val="top"/>
            <w:tcMar>
              <w:top w:w="80" w:type="dxa"/>
              <w:start w:w="120" w:type="dxa"/>
              <w:bottom w:w="80" w:type="dxa"/>
              <w:end w:w="120" w:type="dxa"/>
            </w:tcMar>
          </w:tcPr>
          <w:p>
            <w:pPr>
              <w:spacing w:after="0" w:line="252" w:lineRule="auto"/>
            </w:pPr>
            <w:r>
              <w:rPr>
                <w:rFonts w:ascii="Calibri" w:hAnsi="Calibri"/>
                <w:b w:val="0"/>
                <w:i w:val="0"/>
                <w:color w:val="000000"/>
                <w:sz w:val="18"/>
              </w:rPr>
              <w:t>Funding track</w:t>
            </w:r>
          </w:p>
        </w:tc>
        <w:tc>
          <w:tcPr>
            <w:tcW w:type="dxa" w:w="7160"/>
            <w:vAlign w:val="top"/>
            <w:tcMar>
              <w:top w:w="80" w:type="dxa"/>
              <w:start w:w="120" w:type="dxa"/>
              <w:bottom w:w="80" w:type="dxa"/>
              <w:end w:w="120" w:type="dxa"/>
            </w:tcMar>
          </w:tcPr>
          <w:p>
            <w:pPr>
              <w:spacing w:after="0" w:line="252" w:lineRule="auto"/>
            </w:pPr>
            <w:r>
              <w:rPr>
                <w:rFonts w:ascii="Calibri" w:hAnsi="Calibri"/>
                <w:b w:val="0"/>
                <w:i w:val="0"/>
                <w:color w:val="000000"/>
                <w:sz w:val="18"/>
              </w:rPr>
              <w:t>Youth Homelessness System Improvement (YHSI) - no matching funds required</w:t>
            </w:r>
          </w:p>
        </w:tc>
      </w:tr>
      <w:tr>
        <w:tc>
          <w:tcPr>
            <w:tcW w:type="dxa" w:w="2200"/>
            <w:vAlign w:val="top"/>
            <w:tcMar>
              <w:top w:w="80" w:type="dxa"/>
              <w:start w:w="120" w:type="dxa"/>
              <w:bottom w:w="80" w:type="dxa"/>
              <w:end w:w="120" w:type="dxa"/>
            </w:tcMar>
          </w:tcPr>
          <w:p>
            <w:pPr>
              <w:spacing w:after="0" w:line="252" w:lineRule="auto"/>
            </w:pPr>
            <w:r>
              <w:rPr>
                <w:rFonts w:ascii="Calibri" w:hAnsi="Calibri"/>
                <w:b w:val="0"/>
                <w:i w:val="0"/>
                <w:color w:val="000000"/>
                <w:sz w:val="18"/>
              </w:rPr>
              <w:t>Proposed lead applicant</w:t>
            </w:r>
          </w:p>
        </w:tc>
        <w:tc>
          <w:tcPr>
            <w:tcW w:type="dxa" w:w="716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Youth Foundation; confirmation required</w:t>
            </w:r>
          </w:p>
        </w:tc>
      </w:tr>
      <w:tr>
        <w:tc>
          <w:tcPr>
            <w:tcW w:type="dxa" w:w="2200"/>
            <w:vAlign w:val="top"/>
            <w:tcMar>
              <w:top w:w="80" w:type="dxa"/>
              <w:start w:w="120" w:type="dxa"/>
              <w:bottom w:w="80" w:type="dxa"/>
              <w:end w:w="120" w:type="dxa"/>
            </w:tcMar>
          </w:tcPr>
          <w:p>
            <w:pPr>
              <w:spacing w:after="0" w:line="252" w:lineRule="auto"/>
            </w:pPr>
            <w:r>
              <w:rPr>
                <w:rFonts w:ascii="Calibri" w:hAnsi="Calibri"/>
                <w:b w:val="0"/>
                <w:i w:val="0"/>
                <w:color w:val="000000"/>
                <w:sz w:val="18"/>
              </w:rPr>
              <w:t>Core team</w:t>
            </w:r>
          </w:p>
        </w:tc>
        <w:tc>
          <w:tcPr>
            <w:tcW w:type="dxa" w:w="7160"/>
            <w:vAlign w:val="top"/>
            <w:tcMar>
              <w:top w:w="80" w:type="dxa"/>
              <w:start w:w="120" w:type="dxa"/>
              <w:bottom w:w="80" w:type="dxa"/>
              <w:end w:w="120" w:type="dxa"/>
            </w:tcMar>
          </w:tcPr>
          <w:p>
            <w:pPr>
              <w:spacing w:after="0" w:line="252" w:lineRule="auto"/>
            </w:pPr>
            <w:r>
              <w:rPr>
                <w:rFonts w:ascii="Calibri" w:hAnsi="Calibri"/>
                <w:b w:val="0"/>
                <w:i w:val="0"/>
                <w:color w:val="000000"/>
                <w:sz w:val="18"/>
              </w:rPr>
              <w:t>FOLM / Turning Point, Prime Fit, Dr. Terry Flood, and community partners</w:t>
            </w:r>
          </w:p>
        </w:tc>
      </w:tr>
      <w:tr>
        <w:tc>
          <w:tcPr>
            <w:tcW w:type="dxa" w:w="2200"/>
            <w:vAlign w:val="top"/>
            <w:tcMar>
              <w:top w:w="80" w:type="dxa"/>
              <w:start w:w="120" w:type="dxa"/>
              <w:bottom w:w="80" w:type="dxa"/>
              <w:end w:w="120" w:type="dxa"/>
            </w:tcMar>
          </w:tcPr>
          <w:p>
            <w:pPr>
              <w:spacing w:after="0" w:line="252" w:lineRule="auto"/>
            </w:pPr>
            <w:r>
              <w:rPr>
                <w:rFonts w:ascii="Calibri" w:hAnsi="Calibri"/>
                <w:b w:val="0"/>
                <w:i w:val="0"/>
                <w:color w:val="000000"/>
                <w:sz w:val="18"/>
              </w:rPr>
              <w:t>Priority system partner</w:t>
            </w:r>
          </w:p>
        </w:tc>
        <w:tc>
          <w:tcPr>
            <w:tcW w:type="dxa" w:w="7160"/>
            <w:vAlign w:val="top"/>
            <w:tcMar>
              <w:top w:w="80" w:type="dxa"/>
              <w:start w:w="120" w:type="dxa"/>
              <w:bottom w:w="80" w:type="dxa"/>
              <w:end w:w="120" w:type="dxa"/>
            </w:tcMar>
          </w:tcPr>
          <w:p>
            <w:pPr>
              <w:spacing w:after="0" w:line="252" w:lineRule="auto"/>
            </w:pPr>
            <w:r>
              <w:rPr>
                <w:rFonts w:ascii="Calibri" w:hAnsi="Calibri"/>
                <w:b w:val="0"/>
                <w:i w:val="0"/>
                <w:color w:val="000000"/>
                <w:sz w:val="18"/>
              </w:rPr>
              <w:t>USD 259 McKinney-Vento; Continuum of Care if USD 259 cannot provide sufficient support</w:t>
            </w:r>
          </w:p>
        </w:tc>
      </w:tr>
      <w:tr>
        <w:tc>
          <w:tcPr>
            <w:tcW w:type="dxa" w:w="2200"/>
            <w:vAlign w:val="top"/>
            <w:tcMar>
              <w:top w:w="80" w:type="dxa"/>
              <w:start w:w="120" w:type="dxa"/>
              <w:bottom w:w="80" w:type="dxa"/>
              <w:end w:w="120" w:type="dxa"/>
            </w:tcMar>
          </w:tcPr>
          <w:p>
            <w:pPr>
              <w:spacing w:after="0" w:line="252" w:lineRule="auto"/>
            </w:pPr>
            <w:r>
              <w:rPr>
                <w:rFonts w:ascii="Calibri" w:hAnsi="Calibri"/>
                <w:b w:val="0"/>
                <w:i w:val="0"/>
                <w:color w:val="000000"/>
                <w:sz w:val="18"/>
              </w:rPr>
              <w:t>Federal deadline</w:t>
            </w:r>
          </w:p>
        </w:tc>
        <w:tc>
          <w:tcPr>
            <w:tcW w:type="dxa" w:w="7160"/>
            <w:vAlign w:val="top"/>
            <w:tcMar>
              <w:top w:w="80" w:type="dxa"/>
              <w:start w:w="120" w:type="dxa"/>
              <w:bottom w:w="80" w:type="dxa"/>
              <w:end w:w="120" w:type="dxa"/>
            </w:tcMar>
          </w:tcPr>
          <w:p>
            <w:pPr>
              <w:spacing w:after="0" w:line="252" w:lineRule="auto"/>
            </w:pPr>
            <w:r>
              <w:rPr>
                <w:rFonts w:ascii="Calibri" w:hAnsi="Calibri"/>
                <w:b w:val="0"/>
                <w:i w:val="0"/>
                <w:color w:val="000000"/>
                <w:sz w:val="18"/>
              </w:rPr>
              <w:t>August 10, 2026, 11:59:59 PM Eastern Time, through e-snaps</w:t>
            </w:r>
          </w:p>
        </w:tc>
      </w:tr>
      <w:tr>
        <w:tc>
          <w:tcPr>
            <w:tcW w:type="dxa" w:w="2200"/>
            <w:vAlign w:val="top"/>
            <w:tcMar>
              <w:top w:w="80" w:type="dxa"/>
              <w:start w:w="120" w:type="dxa"/>
              <w:bottom w:w="80" w:type="dxa"/>
              <w:end w:w="120" w:type="dxa"/>
            </w:tcMar>
          </w:tcPr>
          <w:p>
            <w:pPr>
              <w:spacing w:after="0" w:line="252" w:lineRule="auto"/>
            </w:pPr>
            <w:r>
              <w:rPr>
                <w:rFonts w:ascii="Calibri" w:hAnsi="Calibri"/>
                <w:b w:val="0"/>
                <w:i w:val="0"/>
                <w:color w:val="000000"/>
                <w:sz w:val="18"/>
              </w:rPr>
              <w:t>Internal target</w:t>
            </w:r>
          </w:p>
        </w:tc>
        <w:tc>
          <w:tcPr>
            <w:tcW w:type="dxa" w:w="7160"/>
            <w:vAlign w:val="top"/>
            <w:tcMar>
              <w:top w:w="80" w:type="dxa"/>
              <w:start w:w="120" w:type="dxa"/>
              <w:bottom w:w="80" w:type="dxa"/>
              <w:end w:w="120" w:type="dxa"/>
            </w:tcMar>
          </w:tcPr>
          <w:p>
            <w:pPr>
              <w:spacing w:after="0" w:line="252" w:lineRule="auto"/>
            </w:pPr>
            <w:r>
              <w:rPr>
                <w:rFonts w:ascii="Calibri" w:hAnsi="Calibri"/>
                <w:b w:val="0"/>
                <w:i w:val="0"/>
                <w:color w:val="000000"/>
                <w:sz w:val="18"/>
              </w:rPr>
              <w:t>Complete and submit no later than August 10 at 3:00 PM Central</w:t>
            </w:r>
          </w:p>
        </w:tc>
      </w:tr>
    </w:tbl>
    <w:p>
      <w:pPr>
        <w:spacing w:after="40"/>
      </w:pPr>
    </w:p>
    <w:p>
      <w:pPr>
        <w:pStyle w:val="Heading1"/>
      </w:pPr>
      <w:r>
        <w:t>1. Purpose and Recommended Approach</w:t>
      </w:r>
    </w:p>
    <w:p>
      <w:pPr>
        <w:spacing w:after="120" w:line="300" w:lineRule="auto"/>
      </w:pPr>
      <w:r>
        <w:rPr>
          <w:rFonts w:ascii="Calibri" w:hAnsi="Calibri"/>
          <w:b w:val="0"/>
          <w:i w:val="0"/>
          <w:color w:val="000000"/>
          <w:sz w:val="22"/>
        </w:rPr>
        <w:t>This guide explains how the team will move from RFP review to a complete, compliant, and competitive submission. Because Turning Point began this year and has no independent prior performance, the proposal should pair its youth-focused vision with Prime Fit’s organizational capacity, FOLM’s network experience, Dr. Terry Flood’s system-design expertise, and documented participation from established homelessness-response partners.</w:t>
      </w:r>
    </w:p>
    <w:p>
      <w:pPr>
        <w:spacing w:after="120" w:line="300" w:lineRule="auto"/>
      </w:pPr>
      <w:r>
        <w:rPr>
          <w:rFonts w:ascii="Calibri" w:hAnsi="Calibri"/>
          <w:b w:val="0"/>
          <w:i w:val="0"/>
          <w:color w:val="000000"/>
          <w:sz w:val="22"/>
        </w:rPr>
        <w:t>Recommendation: Submit under the YHSI funding track. It does not require matching funds and is designed for system improvement activities such as coordination, youth leadership, referral pathways, data integration, training, evaluation, and connections to education and employment. The proposal must not present YHSI funds as paying for housing or direct client services.</w:t>
      </w:r>
    </w:p>
    <w:p>
      <w:pPr>
        <w:pStyle w:val="Heading1"/>
      </w:pPr>
      <w:r>
        <w:t>2. Development Process</w:t>
      </w:r>
    </w:p>
    <w:p>
      <w:pPr>
        <w:pStyle w:val="ListNumber"/>
        <w:spacing w:after="80" w:line="300" w:lineRule="auto"/>
      </w:pPr>
      <w:r>
        <w:rPr>
          <w:rFonts w:ascii="Calibri" w:hAnsi="Calibri"/>
          <w:b w:val="0"/>
          <w:i w:val="0"/>
          <w:color w:val="000000"/>
          <w:sz w:val="22"/>
        </w:rPr>
        <w:t>Confirm the applicant and decision authority. Prime Fit confirms that it will serve as lead applicant, identifies the authorized representative, and verifies active registrations and access to e-snaps.</w:t>
      </w:r>
    </w:p>
    <w:p>
      <w:pPr>
        <w:pStyle w:val="ListNumber"/>
        <w:spacing w:after="80" w:line="300" w:lineRule="auto"/>
      </w:pPr>
      <w:r>
        <w:rPr>
          <w:rFonts w:ascii="Calibri" w:hAnsi="Calibri"/>
          <w:b w:val="0"/>
          <w:i w:val="0"/>
          <w:color w:val="000000"/>
          <w:sz w:val="22"/>
        </w:rPr>
        <w:t>Build the compliance matrix. Convert every NOFO requirement, form, attachment, narrative question, page limit, and certification into a tracked checklist with an owner and due time.</w:t>
      </w:r>
    </w:p>
    <w:p>
      <w:pPr>
        <w:pStyle w:val="ListNumber"/>
        <w:spacing w:after="80" w:line="300" w:lineRule="auto"/>
      </w:pPr>
      <w:r>
        <w:rPr>
          <w:rFonts w:ascii="Calibri" w:hAnsi="Calibri"/>
          <w:b w:val="0"/>
          <w:i w:val="0"/>
          <w:color w:val="000000"/>
          <w:sz w:val="22"/>
        </w:rPr>
        <w:t>Finalize the program design. Define the service area, target youth population, system gaps, proposed improvements, partner roles, 30-month activities, deliverables, and measurable outcomes.</w:t>
      </w:r>
    </w:p>
    <w:p>
      <w:pPr>
        <w:pStyle w:val="ListNumber"/>
        <w:spacing w:after="80" w:line="300" w:lineRule="auto"/>
      </w:pPr>
      <w:r>
        <w:rPr>
          <w:rFonts w:ascii="Calibri" w:hAnsi="Calibri"/>
          <w:b w:val="0"/>
          <w:i w:val="0"/>
          <w:color w:val="000000"/>
          <w:sz w:val="22"/>
        </w:rPr>
        <w:t>Secure youth and partner participation. Document meaningful participation by at least two youth with lived experience and obtain commitments from USD 259 McKinney-Vento or the Continuum of Care.</w:t>
      </w:r>
    </w:p>
    <w:p>
      <w:pPr>
        <w:pStyle w:val="ListNumber"/>
        <w:spacing w:after="80" w:line="300" w:lineRule="auto"/>
      </w:pPr>
      <w:r>
        <w:rPr>
          <w:rFonts w:ascii="Calibri" w:hAnsi="Calibri"/>
          <w:b w:val="0"/>
          <w:i w:val="0"/>
          <w:color w:val="000000"/>
          <w:sz w:val="22"/>
        </w:rPr>
        <w:t>Draft the narrative and budget together. Ensure every budget line directly supports an eligible system-improvement activity and is explained in the narrative.</w:t>
      </w:r>
    </w:p>
    <w:p>
      <w:pPr>
        <w:pStyle w:val="ListNumber"/>
        <w:spacing w:after="80" w:line="300" w:lineRule="auto"/>
      </w:pPr>
      <w:r>
        <w:rPr>
          <w:rFonts w:ascii="Calibri" w:hAnsi="Calibri"/>
          <w:b w:val="0"/>
          <w:i w:val="0"/>
          <w:color w:val="000000"/>
          <w:sz w:val="22"/>
        </w:rPr>
        <w:t>Conduct compliance and quality reviews. Check responsiveness, scoring alignment, consistency of names and numbers, required signatures, attachments, and federal assurances.</w:t>
      </w:r>
    </w:p>
    <w:p>
      <w:pPr>
        <w:pStyle w:val="ListNumber"/>
        <w:spacing w:after="80" w:line="300" w:lineRule="auto"/>
      </w:pPr>
      <w:r>
        <w:rPr>
          <w:rFonts w:ascii="Calibri" w:hAnsi="Calibri"/>
          <w:b w:val="0"/>
          <w:i w:val="0"/>
          <w:color w:val="000000"/>
          <w:sz w:val="22"/>
        </w:rPr>
        <w:t>Enter and validate the application in e-snaps. Upload final files, resolve validation errors, complete the authorized review, submit early, and retain confirmation records.</w:t>
      </w:r>
    </w:p>
    <w:p>
      <w:pPr>
        <w:pStyle w:val="Heading1"/>
      </w:pPr>
      <w:r>
        <w:t>3. Roles and Team Dynamics</w:t>
      </w:r>
    </w:p>
    <w:tbl>
      <w:tblPr>
        <w:tblStyle w:val="TableGrid"/>
        <w:tblW w:type="dxa" w:w="9360"/>
        <w:jc w:val="left"/>
        <w:tblLayout w:type="fixed"/>
        <w:tblLook w:firstColumn="1" w:firstRow="1" w:lastColumn="0" w:lastRow="0" w:noHBand="0" w:noVBand="1" w:val="04A0"/>
        <w:tblInd w:w="120" w:type="dxa"/>
      </w:tblPr>
      <w:tblGrid>
        <w:gridCol w:w="1900"/>
        <w:gridCol w:w="4500"/>
        <w:gridCol w:w="29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i w:val="0"/>
                <w:color w:val="163A5F"/>
                <w:sz w:val="19"/>
              </w:rPr>
              <w:t>Organization / Lead</w:t>
            </w:r>
          </w:p>
        </w:tc>
        <w:tc>
          <w:tcPr>
            <w:tcW w:type="dxa" w:w="4500"/>
            <w:shd w:fill="E8EEF5"/>
            <w:vAlign w:val="center"/>
            <w:tcMar>
              <w:top w:w="80" w:type="dxa"/>
              <w:start w:w="120" w:type="dxa"/>
              <w:bottom w:w="80" w:type="dxa"/>
              <w:end w:w="120" w:type="dxa"/>
            </w:tcMar>
          </w:tcPr>
          <w:p>
            <w:pPr>
              <w:spacing w:after="0"/>
            </w:pPr>
            <w:r>
              <w:rPr>
                <w:rFonts w:ascii="Calibri" w:hAnsi="Calibri"/>
                <w:b/>
                <w:i w:val="0"/>
                <w:color w:val="163A5F"/>
                <w:sz w:val="19"/>
              </w:rPr>
              <w:t>Primary Responsibility</w:t>
            </w:r>
          </w:p>
        </w:tc>
        <w:tc>
          <w:tcPr>
            <w:tcW w:type="dxa" w:w="2960"/>
            <w:shd w:fill="E8EEF5"/>
            <w:vAlign w:val="center"/>
            <w:tcMar>
              <w:top w:w="80" w:type="dxa"/>
              <w:start w:w="120" w:type="dxa"/>
              <w:bottom w:w="80" w:type="dxa"/>
              <w:end w:w="120" w:type="dxa"/>
            </w:tcMar>
          </w:tcPr>
          <w:p>
            <w:pPr>
              <w:spacing w:after="0"/>
            </w:pPr>
            <w:r>
              <w:rPr>
                <w:rFonts w:ascii="Calibri" w:hAnsi="Calibri"/>
                <w:b/>
                <w:i w:val="0"/>
                <w:color w:val="163A5F"/>
                <w:sz w:val="19"/>
              </w:rPr>
              <w:t>Immediate Deliverable</w:t>
            </w:r>
          </w:p>
        </w:tc>
      </w:tr>
      <w:tr>
        <w:tc>
          <w:tcPr>
            <w:tcW w:type="dxa" w:w="190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Youth Foundation</w:t>
            </w:r>
          </w:p>
        </w:tc>
        <w:tc>
          <w:tcPr>
            <w:tcW w:type="dxa" w:w="4500"/>
            <w:vAlign w:val="top"/>
            <w:tcMar>
              <w:top w:w="80" w:type="dxa"/>
              <w:start w:w="120" w:type="dxa"/>
              <w:bottom w:w="80" w:type="dxa"/>
              <w:end w:w="120" w:type="dxa"/>
            </w:tcMar>
          </w:tcPr>
          <w:p>
            <w:pPr>
              <w:spacing w:after="0" w:line="252" w:lineRule="auto"/>
            </w:pPr>
            <w:r>
              <w:rPr>
                <w:rFonts w:ascii="Calibri" w:hAnsi="Calibri"/>
                <w:b w:val="0"/>
                <w:i w:val="0"/>
                <w:color w:val="000000"/>
                <w:sz w:val="18"/>
              </w:rPr>
              <w:t>Lead applicant, fiscal agent, authorized submission, federal compliance, grant administration</w:t>
            </w:r>
          </w:p>
        </w:tc>
        <w:tc>
          <w:tcPr>
            <w:tcW w:type="dxa" w:w="2960"/>
            <w:vAlign w:val="top"/>
            <w:tcMar>
              <w:top w:w="80" w:type="dxa"/>
              <w:start w:w="120" w:type="dxa"/>
              <w:bottom w:w="80" w:type="dxa"/>
              <w:end w:w="120" w:type="dxa"/>
            </w:tcMar>
          </w:tcPr>
          <w:p>
            <w:pPr>
              <w:spacing w:after="0" w:line="252" w:lineRule="auto"/>
            </w:pPr>
            <w:r>
              <w:rPr>
                <w:rFonts w:ascii="Calibri" w:hAnsi="Calibri"/>
                <w:b w:val="0"/>
                <w:i w:val="0"/>
                <w:color w:val="000000"/>
                <w:sz w:val="18"/>
              </w:rPr>
              <w:t>Written confirmation of lead role; UEI/SAM/e-snaps readiness; authorized representative; organizational documents</w:t>
            </w:r>
          </w:p>
        </w:tc>
      </w:tr>
      <w:tr>
        <w:tc>
          <w:tcPr>
            <w:tcW w:type="dxa" w:w="1900"/>
            <w:vAlign w:val="top"/>
            <w:tcMar>
              <w:top w:w="80" w:type="dxa"/>
              <w:start w:w="120" w:type="dxa"/>
              <w:bottom w:w="80" w:type="dxa"/>
              <w:end w:w="120" w:type="dxa"/>
            </w:tcMar>
          </w:tcPr>
          <w:p>
            <w:pPr>
              <w:spacing w:after="0" w:line="252" w:lineRule="auto"/>
            </w:pPr>
            <w:r>
              <w:rPr>
                <w:rFonts w:ascii="Calibri" w:hAnsi="Calibri"/>
                <w:b w:val="0"/>
                <w:i w:val="0"/>
                <w:color w:val="000000"/>
                <w:sz w:val="18"/>
              </w:rPr>
              <w:t>Eric Hargrave / FOLM</w:t>
            </w:r>
          </w:p>
        </w:tc>
        <w:tc>
          <w:tcPr>
            <w:tcW w:type="dxa" w:w="4500"/>
            <w:vAlign w:val="top"/>
            <w:tcMar>
              <w:top w:w="80" w:type="dxa"/>
              <w:start w:w="120" w:type="dxa"/>
              <w:bottom w:w="80" w:type="dxa"/>
              <w:end w:w="120" w:type="dxa"/>
            </w:tcMar>
          </w:tcPr>
          <w:p>
            <w:pPr>
              <w:spacing w:after="0" w:line="252" w:lineRule="auto"/>
            </w:pPr>
            <w:r>
              <w:rPr>
                <w:rFonts w:ascii="Calibri" w:hAnsi="Calibri"/>
                <w:b w:val="0"/>
                <w:i w:val="0"/>
                <w:color w:val="000000"/>
                <w:sz w:val="18"/>
              </w:rPr>
              <w:t>Proposal lead, narrative integration, partner coordination, document control</w:t>
            </w:r>
          </w:p>
        </w:tc>
        <w:tc>
          <w:tcPr>
            <w:tcW w:type="dxa" w:w="2960"/>
            <w:vAlign w:val="top"/>
            <w:tcMar>
              <w:top w:w="80" w:type="dxa"/>
              <w:start w:w="120" w:type="dxa"/>
              <w:bottom w:w="80" w:type="dxa"/>
              <w:end w:w="120" w:type="dxa"/>
            </w:tcMar>
          </w:tcPr>
          <w:p>
            <w:pPr>
              <w:spacing w:after="0" w:line="252" w:lineRule="auto"/>
            </w:pPr>
            <w:r>
              <w:rPr>
                <w:rFonts w:ascii="Calibri" w:hAnsi="Calibri"/>
                <w:b w:val="0"/>
                <w:i w:val="0"/>
                <w:color w:val="000000"/>
                <w:sz w:val="18"/>
              </w:rPr>
              <w:t>Master outline, compliance matrix, drafts, final package, submission coordination</w:t>
            </w:r>
          </w:p>
        </w:tc>
      </w:tr>
      <w:tr>
        <w:tc>
          <w:tcPr>
            <w:tcW w:type="dxa" w:w="1900"/>
            <w:vAlign w:val="top"/>
            <w:tcMar>
              <w:top w:w="80" w:type="dxa"/>
              <w:start w:w="120" w:type="dxa"/>
              <w:bottom w:w="80" w:type="dxa"/>
              <w:end w:w="120" w:type="dxa"/>
            </w:tcMar>
          </w:tcPr>
          <w:p>
            <w:pPr>
              <w:spacing w:after="0" w:line="252" w:lineRule="auto"/>
            </w:pPr>
            <w:r>
              <w:rPr>
                <w:rFonts w:ascii="Calibri" w:hAnsi="Calibri"/>
                <w:b w:val="0"/>
                <w:i w:val="0"/>
                <w:color w:val="000000"/>
                <w:sz w:val="18"/>
              </w:rPr>
              <w:t>Dr. Terry Flood</w:t>
            </w:r>
          </w:p>
        </w:tc>
        <w:tc>
          <w:tcPr>
            <w:tcW w:type="dxa" w:w="4500"/>
            <w:vAlign w:val="top"/>
            <w:tcMar>
              <w:top w:w="80" w:type="dxa"/>
              <w:start w:w="120" w:type="dxa"/>
              <w:bottom w:w="80" w:type="dxa"/>
              <w:end w:w="120" w:type="dxa"/>
            </w:tcMar>
          </w:tcPr>
          <w:p>
            <w:pPr>
              <w:spacing w:after="0" w:line="252" w:lineRule="auto"/>
            </w:pPr>
            <w:r>
              <w:rPr>
                <w:rFonts w:ascii="Calibri" w:hAnsi="Calibri"/>
                <w:b w:val="0"/>
                <w:i w:val="0"/>
                <w:color w:val="000000"/>
                <w:sz w:val="18"/>
              </w:rPr>
              <w:t>System analysis, implementation architecture, workflows, performance-management design</w:t>
            </w:r>
          </w:p>
        </w:tc>
        <w:tc>
          <w:tcPr>
            <w:tcW w:type="dxa" w:w="2960"/>
            <w:vAlign w:val="top"/>
            <w:tcMar>
              <w:top w:w="80" w:type="dxa"/>
              <w:start w:w="120" w:type="dxa"/>
              <w:bottom w:w="80" w:type="dxa"/>
              <w:end w:w="120" w:type="dxa"/>
            </w:tcMar>
          </w:tcPr>
          <w:p>
            <w:pPr>
              <w:spacing w:after="0" w:line="252" w:lineRule="auto"/>
            </w:pPr>
            <w:r>
              <w:rPr>
                <w:rFonts w:ascii="Calibri" w:hAnsi="Calibri"/>
                <w:b w:val="0"/>
                <w:i w:val="0"/>
                <w:color w:val="000000"/>
                <w:sz w:val="18"/>
              </w:rPr>
              <w:t>Current-state analysis, future-state model, implementation roadmap, roles/RACI, performance framework</w:t>
            </w:r>
          </w:p>
        </w:tc>
      </w:tr>
      <w:tr>
        <w:tc>
          <w:tcPr>
            <w:tcW w:type="dxa" w:w="1900"/>
            <w:vAlign w:val="top"/>
            <w:tcMar>
              <w:top w:w="80" w:type="dxa"/>
              <w:start w:w="120" w:type="dxa"/>
              <w:bottom w:w="80" w:type="dxa"/>
              <w:end w:w="120" w:type="dxa"/>
            </w:tcMar>
          </w:tcPr>
          <w:p>
            <w:pPr>
              <w:spacing w:after="0" w:line="252" w:lineRule="auto"/>
            </w:pPr>
            <w:r>
              <w:rPr>
                <w:rFonts w:ascii="Calibri" w:hAnsi="Calibri"/>
                <w:b w:val="0"/>
                <w:i w:val="0"/>
                <w:color w:val="000000"/>
                <w:sz w:val="18"/>
              </w:rPr>
              <w:t>Vernetta Dixon / Turning Point</w:t>
            </w:r>
          </w:p>
        </w:tc>
        <w:tc>
          <w:tcPr>
            <w:tcW w:type="dxa" w:w="4500"/>
            <w:vAlign w:val="top"/>
            <w:tcMar>
              <w:top w:w="80" w:type="dxa"/>
              <w:start w:w="120" w:type="dxa"/>
              <w:bottom w:w="80" w:type="dxa"/>
              <w:end w:w="120" w:type="dxa"/>
            </w:tcMar>
          </w:tcPr>
          <w:p>
            <w:pPr>
              <w:spacing w:after="0" w:line="252" w:lineRule="auto"/>
            </w:pPr>
            <w:r>
              <w:rPr>
                <w:rFonts w:ascii="Calibri" w:hAnsi="Calibri"/>
                <w:b w:val="0"/>
                <w:i w:val="0"/>
                <w:color w:val="000000"/>
                <w:sz w:val="18"/>
              </w:rPr>
              <w:t>Youth-program subject matter, partner outreach, board coordination, local need and lived-experience engagement</w:t>
            </w:r>
          </w:p>
        </w:tc>
        <w:tc>
          <w:tcPr>
            <w:tcW w:type="dxa" w:w="2960"/>
            <w:vAlign w:val="top"/>
            <w:tcMar>
              <w:top w:w="80" w:type="dxa"/>
              <w:start w:w="120" w:type="dxa"/>
              <w:bottom w:w="80" w:type="dxa"/>
              <w:end w:w="120" w:type="dxa"/>
            </w:tcMar>
          </w:tcPr>
          <w:p>
            <w:pPr>
              <w:spacing w:after="0" w:line="252" w:lineRule="auto"/>
            </w:pPr>
            <w:r>
              <w:rPr>
                <w:rFonts w:ascii="Calibri" w:hAnsi="Calibri"/>
                <w:b w:val="0"/>
                <w:i w:val="0"/>
                <w:color w:val="000000"/>
                <w:sz w:val="18"/>
              </w:rPr>
              <w:t>Program facts, board participation, youth involvement plan, partner confirmations and letters</w:t>
            </w:r>
          </w:p>
        </w:tc>
      </w:tr>
      <w:tr>
        <w:tc>
          <w:tcPr>
            <w:tcW w:type="dxa" w:w="1900"/>
            <w:vAlign w:val="top"/>
            <w:tcMar>
              <w:top w:w="80" w:type="dxa"/>
              <w:start w:w="120" w:type="dxa"/>
              <w:bottom w:w="80" w:type="dxa"/>
              <w:end w:w="120" w:type="dxa"/>
            </w:tcMar>
          </w:tcPr>
          <w:p>
            <w:pPr>
              <w:spacing w:after="0" w:line="252" w:lineRule="auto"/>
            </w:pPr>
            <w:r>
              <w:rPr>
                <w:rFonts w:ascii="Calibri" w:hAnsi="Calibri"/>
                <w:b w:val="0"/>
                <w:i w:val="0"/>
                <w:color w:val="000000"/>
                <w:sz w:val="18"/>
              </w:rPr>
              <w:t>USD 259 McKinney-Vento</w:t>
            </w:r>
          </w:p>
        </w:tc>
        <w:tc>
          <w:tcPr>
            <w:tcW w:type="dxa" w:w="4500"/>
            <w:vAlign w:val="top"/>
            <w:tcMar>
              <w:top w:w="80" w:type="dxa"/>
              <w:start w:w="120" w:type="dxa"/>
              <w:bottom w:w="80" w:type="dxa"/>
              <w:end w:w="120" w:type="dxa"/>
            </w:tcMar>
          </w:tcPr>
          <w:p>
            <w:pPr>
              <w:spacing w:after="0" w:line="252" w:lineRule="auto"/>
            </w:pPr>
            <w:r>
              <w:rPr>
                <w:rFonts w:ascii="Calibri" w:hAnsi="Calibri"/>
                <w:b w:val="0"/>
                <w:i w:val="0"/>
                <w:color w:val="000000"/>
                <w:sz w:val="18"/>
              </w:rPr>
              <w:t>Priority referral/data partner connecting students classified as homeless to the proposed system</w:t>
            </w:r>
          </w:p>
        </w:tc>
        <w:tc>
          <w:tcPr>
            <w:tcW w:type="dxa" w:w="2960"/>
            <w:vAlign w:val="top"/>
            <w:tcMar>
              <w:top w:w="80" w:type="dxa"/>
              <w:start w:w="120" w:type="dxa"/>
              <w:bottom w:w="80" w:type="dxa"/>
              <w:end w:w="120" w:type="dxa"/>
            </w:tcMar>
          </w:tcPr>
          <w:p>
            <w:pPr>
              <w:spacing w:after="0" w:line="252" w:lineRule="auto"/>
            </w:pPr>
            <w:r>
              <w:rPr>
                <w:rFonts w:ascii="Calibri" w:hAnsi="Calibri"/>
                <w:b w:val="0"/>
                <w:i w:val="0"/>
                <w:color w:val="000000"/>
                <w:sz w:val="18"/>
              </w:rPr>
              <w:t>Letter of support; referral workflow; verified data and source/year; designated liaison</w:t>
            </w:r>
          </w:p>
        </w:tc>
      </w:tr>
      <w:tr>
        <w:tc>
          <w:tcPr>
            <w:tcW w:type="dxa" w:w="1900"/>
            <w:vAlign w:val="top"/>
            <w:tcMar>
              <w:top w:w="80" w:type="dxa"/>
              <w:start w:w="120" w:type="dxa"/>
              <w:bottom w:w="80" w:type="dxa"/>
              <w:end w:w="120" w:type="dxa"/>
            </w:tcMar>
          </w:tcPr>
          <w:p>
            <w:pPr>
              <w:spacing w:after="0" w:line="252" w:lineRule="auto"/>
            </w:pPr>
            <w:r>
              <w:rPr>
                <w:rFonts w:ascii="Calibri" w:hAnsi="Calibri"/>
                <w:b w:val="0"/>
                <w:i w:val="0"/>
                <w:color w:val="000000"/>
                <w:sz w:val="18"/>
              </w:rPr>
              <w:t>Continuum of Care</w:t>
            </w:r>
          </w:p>
        </w:tc>
        <w:tc>
          <w:tcPr>
            <w:tcW w:type="dxa" w:w="4500"/>
            <w:vAlign w:val="top"/>
            <w:tcMar>
              <w:top w:w="80" w:type="dxa"/>
              <w:start w:w="120" w:type="dxa"/>
              <w:bottom w:w="80" w:type="dxa"/>
              <w:end w:w="120" w:type="dxa"/>
            </w:tcMar>
          </w:tcPr>
          <w:p>
            <w:pPr>
              <w:spacing w:after="0" w:line="252" w:lineRule="auto"/>
            </w:pPr>
            <w:r>
              <w:rPr>
                <w:rFonts w:ascii="Calibri" w:hAnsi="Calibri"/>
                <w:b w:val="0"/>
                <w:i w:val="0"/>
                <w:color w:val="000000"/>
                <w:sz w:val="18"/>
              </w:rPr>
              <w:t>Alternative or complementary homelessness-system partner, coordinated-entry and system alignment</w:t>
            </w:r>
          </w:p>
        </w:tc>
        <w:tc>
          <w:tcPr>
            <w:tcW w:type="dxa" w:w="2960"/>
            <w:vAlign w:val="top"/>
            <w:tcMar>
              <w:top w:w="80" w:type="dxa"/>
              <w:start w:w="120" w:type="dxa"/>
              <w:bottom w:w="80" w:type="dxa"/>
              <w:end w:w="120" w:type="dxa"/>
            </w:tcMar>
          </w:tcPr>
          <w:p>
            <w:pPr>
              <w:spacing w:after="0" w:line="252" w:lineRule="auto"/>
            </w:pPr>
            <w:r>
              <w:rPr>
                <w:rFonts w:ascii="Calibri" w:hAnsi="Calibri"/>
                <w:b w:val="0"/>
                <w:i w:val="0"/>
                <w:color w:val="000000"/>
                <w:sz w:val="18"/>
              </w:rPr>
              <w:t>Letter/commitment describing coordination, data, referrals, and integration</w:t>
            </w:r>
          </w:p>
        </w:tc>
      </w:tr>
      <w:tr>
        <w:tc>
          <w:tcPr>
            <w:tcW w:type="dxa" w:w="1900"/>
            <w:vAlign w:val="top"/>
            <w:tcMar>
              <w:top w:w="80" w:type="dxa"/>
              <w:start w:w="120" w:type="dxa"/>
              <w:bottom w:w="80" w:type="dxa"/>
              <w:end w:w="120" w:type="dxa"/>
            </w:tcMar>
          </w:tcPr>
          <w:p>
            <w:pPr>
              <w:spacing w:after="0" w:line="252" w:lineRule="auto"/>
            </w:pPr>
            <w:r>
              <w:rPr>
                <w:rFonts w:ascii="Calibri" w:hAnsi="Calibri"/>
                <w:b w:val="0"/>
                <w:i w:val="0"/>
                <w:color w:val="000000"/>
                <w:sz w:val="18"/>
              </w:rPr>
              <w:t>The Center and other partners</w:t>
            </w:r>
          </w:p>
        </w:tc>
        <w:tc>
          <w:tcPr>
            <w:tcW w:type="dxa" w:w="4500"/>
            <w:vAlign w:val="top"/>
            <w:tcMar>
              <w:top w:w="80" w:type="dxa"/>
              <w:start w:w="120" w:type="dxa"/>
              <w:bottom w:w="80" w:type="dxa"/>
              <w:end w:w="120" w:type="dxa"/>
            </w:tcMar>
          </w:tcPr>
          <w:p>
            <w:pPr>
              <w:spacing w:after="0" w:line="252" w:lineRule="auto"/>
            </w:pPr>
            <w:r>
              <w:rPr>
                <w:rFonts w:ascii="Calibri" w:hAnsi="Calibri"/>
                <w:b w:val="0"/>
                <w:i w:val="0"/>
                <w:color w:val="000000"/>
                <w:sz w:val="18"/>
              </w:rPr>
              <w:t>Behavioral-health, family-stabilization, referral, and subject-matter support</w:t>
            </w:r>
          </w:p>
        </w:tc>
        <w:tc>
          <w:tcPr>
            <w:tcW w:type="dxa" w:w="2960"/>
            <w:vAlign w:val="top"/>
            <w:tcMar>
              <w:top w:w="80" w:type="dxa"/>
              <w:start w:w="120" w:type="dxa"/>
              <w:bottom w:w="80" w:type="dxa"/>
              <w:end w:w="120" w:type="dxa"/>
            </w:tcMar>
          </w:tcPr>
          <w:p>
            <w:pPr>
              <w:spacing w:after="0" w:line="252" w:lineRule="auto"/>
            </w:pPr>
            <w:r>
              <w:rPr>
                <w:rFonts w:ascii="Calibri" w:hAnsi="Calibri"/>
                <w:b w:val="0"/>
                <w:i w:val="0"/>
                <w:color w:val="000000"/>
                <w:sz w:val="18"/>
              </w:rPr>
              <w:t>Letters of support and precise work-share descriptions</w:t>
            </w:r>
          </w:p>
        </w:tc>
      </w:tr>
    </w:tbl>
    <w:p>
      <w:pPr>
        <w:spacing w:after="40"/>
      </w:pPr>
    </w:p>
    <w:p>
      <w:pPr>
        <w:pStyle w:val="Heading1"/>
      </w:pPr>
      <w:r>
        <w:t>4. Required Submission Workstreams</w:t>
      </w:r>
    </w:p>
    <w:tbl>
      <w:tblPr>
        <w:tblStyle w:val="TableGrid"/>
        <w:tblW w:type="dxa" w:w="9360"/>
        <w:jc w:val="left"/>
        <w:tblLayout w:type="fixed"/>
        <w:tblLook w:firstColumn="1" w:firstRow="1" w:lastColumn="0" w:lastRow="0" w:noHBand="0" w:noVBand="1" w:val="04A0"/>
        <w:tblInd w:w="120" w:type="dxa"/>
      </w:tblPr>
      <w:tblGrid>
        <w:gridCol w:w="1500"/>
        <w:gridCol w:w="5200"/>
        <w:gridCol w:w="266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163A5F"/>
                <w:sz w:val="19"/>
              </w:rPr>
              <w:t>Workstream</w:t>
            </w:r>
          </w:p>
        </w:tc>
        <w:tc>
          <w:tcPr>
            <w:tcW w:type="dxa" w:w="5200"/>
            <w:shd w:fill="E8EEF5"/>
            <w:vAlign w:val="center"/>
            <w:tcMar>
              <w:top w:w="80" w:type="dxa"/>
              <w:start w:w="120" w:type="dxa"/>
              <w:bottom w:w="80" w:type="dxa"/>
              <w:end w:w="120" w:type="dxa"/>
            </w:tcMar>
          </w:tcPr>
          <w:p>
            <w:pPr>
              <w:spacing w:after="0"/>
            </w:pPr>
            <w:r>
              <w:rPr>
                <w:rFonts w:ascii="Calibri" w:hAnsi="Calibri"/>
                <w:b/>
                <w:i w:val="0"/>
                <w:color w:val="163A5F"/>
                <w:sz w:val="19"/>
              </w:rPr>
              <w:t>Items to Complete</w:t>
            </w:r>
          </w:p>
        </w:tc>
        <w:tc>
          <w:tcPr>
            <w:tcW w:type="dxa" w:w="2660"/>
            <w:shd w:fill="E8EEF5"/>
            <w:vAlign w:val="center"/>
            <w:tcMar>
              <w:top w:w="80" w:type="dxa"/>
              <w:start w:w="120" w:type="dxa"/>
              <w:bottom w:w="80" w:type="dxa"/>
              <w:end w:w="120" w:type="dxa"/>
            </w:tcMar>
          </w:tcPr>
          <w:p>
            <w:pPr>
              <w:spacing w:after="0"/>
            </w:pPr>
            <w:r>
              <w:rPr>
                <w:rFonts w:ascii="Calibri" w:hAnsi="Calibri"/>
                <w:b/>
                <w:i w:val="0"/>
                <w:color w:val="163A5F"/>
                <w:sz w:val="19"/>
              </w:rPr>
              <w:t>Completion Standard</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Applicant readiness</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Prime status; active SAM registration; UEI; e-snaps account; authorized representative; legal name/address consistency</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Verified by Prime Fit and documented before final entry</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Narrative</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Need, youth leadership, community connections, safe-community approach, YHSI plan, outcomes, implementation, sustainability</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Directly answers every prompt and explicitly tracks scoring criteria</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Youth leadership</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At least two youth with lived experience; defined roles in design, implementation, and evaluation; compensation approach if allowed</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Specific, meaningful, documented, and not merely advisory in name</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Partnerships</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USD 259 and/or CoC commitment; referral pathway; data-sharing approach; roles for FOLM, Turning Point, The Center, and others</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Letters and narrative use consistent commitments and terminology</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Budget</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30-month cost workbook, narrative justification, eligible costs, personnel/contractor assumptions, indirect cost treatment</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Balances mathematically and maps every cost to an activity and deliverable</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Forms and certifications</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HUD-424-CBW, HUD-426, HUD-2996, HUD-50070, environmental/FONSI materials, and any e-snaps certifications</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Current versions, complete fields, correct signatures, no conflicting information</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Evidence and attachments</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Organization facts, prior HIS HOUSE experience, resumes, letters, data sources, policies/capacity evidence as required</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Only permitted materials; clearly named; readable; referenced where useful</w:t>
            </w:r>
          </w:p>
        </w:tc>
      </w:tr>
      <w:tr>
        <w:tc>
          <w:tcPr>
            <w:tcW w:type="dxa" w:w="1500"/>
            <w:vAlign w:val="top"/>
            <w:tcMar>
              <w:top w:w="80" w:type="dxa"/>
              <w:start w:w="120" w:type="dxa"/>
              <w:bottom w:w="80" w:type="dxa"/>
              <w:end w:w="120" w:type="dxa"/>
            </w:tcMar>
          </w:tcPr>
          <w:p>
            <w:pPr>
              <w:spacing w:after="0" w:line="252" w:lineRule="auto"/>
            </w:pPr>
            <w:r>
              <w:rPr>
                <w:rFonts w:ascii="Calibri" w:hAnsi="Calibri"/>
                <w:b w:val="0"/>
                <w:i w:val="0"/>
                <w:color w:val="000000"/>
                <w:sz w:val="18"/>
              </w:rPr>
              <w:t>Submission control</w:t>
            </w:r>
          </w:p>
        </w:tc>
        <w:tc>
          <w:tcPr>
            <w:tcW w:type="dxa" w:w="5200"/>
            <w:vAlign w:val="top"/>
            <w:tcMar>
              <w:top w:w="80" w:type="dxa"/>
              <w:start w:w="120" w:type="dxa"/>
              <w:bottom w:w="80" w:type="dxa"/>
              <w:end w:w="120" w:type="dxa"/>
            </w:tcMar>
          </w:tcPr>
          <w:p>
            <w:pPr>
              <w:spacing w:after="0" w:line="252" w:lineRule="auto"/>
            </w:pPr>
            <w:r>
              <w:rPr>
                <w:rFonts w:ascii="Calibri" w:hAnsi="Calibri"/>
                <w:b w:val="0"/>
                <w:i w:val="0"/>
                <w:color w:val="000000"/>
                <w:sz w:val="18"/>
              </w:rPr>
              <w:t>File naming, PDF quality, e-snaps entry, validation, final authorized review, submission receipt</w:t>
            </w:r>
          </w:p>
        </w:tc>
        <w:tc>
          <w:tcPr>
            <w:tcW w:type="dxa" w:w="2660"/>
            <w:vAlign w:val="top"/>
            <w:tcMar>
              <w:top w:w="80" w:type="dxa"/>
              <w:start w:w="120" w:type="dxa"/>
              <w:bottom w:w="80" w:type="dxa"/>
              <w:end w:w="120" w:type="dxa"/>
            </w:tcMar>
          </w:tcPr>
          <w:p>
            <w:pPr>
              <w:spacing w:after="0" w:line="252" w:lineRule="auto"/>
            </w:pPr>
            <w:r>
              <w:rPr>
                <w:rFonts w:ascii="Calibri" w:hAnsi="Calibri"/>
                <w:b w:val="0"/>
                <w:i w:val="0"/>
                <w:color w:val="000000"/>
                <w:sz w:val="18"/>
              </w:rPr>
              <w:t>Submitted before internal deadline; confirmation saved and shared</w:t>
            </w:r>
          </w:p>
        </w:tc>
      </w:tr>
    </w:tbl>
    <w:p>
      <w:pPr>
        <w:spacing w:after="40"/>
      </w:pPr>
    </w:p>
    <w:p>
      <w:pPr>
        <w:pStyle w:val="Heading1"/>
      </w:pPr>
      <w:r>
        <w:t>5. Compressed Schedule to Deadline</w:t>
      </w:r>
    </w:p>
    <w:tbl>
      <w:tblPr>
        <w:tblStyle w:val="TableGrid"/>
        <w:tblW w:type="dxa" w:w="9360"/>
        <w:jc w:val="left"/>
        <w:tblLayout w:type="fixed"/>
        <w:tblLook w:firstColumn="1" w:firstRow="1" w:lastColumn="0" w:lastRow="0" w:noHBand="0" w:noVBand="1" w:val="04A0"/>
        <w:tblInd w:w="120" w:type="dxa"/>
      </w:tblPr>
      <w:tblGrid>
        <w:gridCol w:w="1800"/>
        <w:gridCol w:w="5400"/>
        <w:gridCol w:w="21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163A5F"/>
                <w:sz w:val="19"/>
              </w:rPr>
              <w:t>Date / Gate</w:t>
            </w:r>
          </w:p>
        </w:tc>
        <w:tc>
          <w:tcPr>
            <w:tcW w:type="dxa" w:w="5400"/>
            <w:shd w:fill="E8EEF5"/>
            <w:vAlign w:val="center"/>
            <w:tcMar>
              <w:top w:w="80" w:type="dxa"/>
              <w:start w:w="120" w:type="dxa"/>
              <w:bottom w:w="80" w:type="dxa"/>
              <w:end w:w="120" w:type="dxa"/>
            </w:tcMar>
          </w:tcPr>
          <w:p>
            <w:pPr>
              <w:spacing w:after="0"/>
            </w:pPr>
            <w:r>
              <w:rPr>
                <w:rFonts w:ascii="Calibri" w:hAnsi="Calibri"/>
                <w:b/>
                <w:i w:val="0"/>
                <w:color w:val="163A5F"/>
                <w:sz w:val="19"/>
              </w:rPr>
              <w:t>Required Outcome</w:t>
            </w:r>
          </w:p>
        </w:tc>
        <w:tc>
          <w:tcPr>
            <w:tcW w:type="dxa" w:w="2160"/>
            <w:shd w:fill="E8EEF5"/>
            <w:vAlign w:val="center"/>
            <w:tcMar>
              <w:top w:w="80" w:type="dxa"/>
              <w:start w:w="120" w:type="dxa"/>
              <w:bottom w:w="80" w:type="dxa"/>
              <w:end w:w="120" w:type="dxa"/>
            </w:tcMar>
          </w:tcPr>
          <w:p>
            <w:pPr>
              <w:spacing w:after="0"/>
            </w:pPr>
            <w:r>
              <w:rPr>
                <w:rFonts w:ascii="Calibri" w:hAnsi="Calibri"/>
                <w:b/>
                <w:i w:val="0"/>
                <w:color w:val="163A5F"/>
                <w:sz w:val="19"/>
              </w:rPr>
              <w:t>Owner(s)</w:t>
            </w:r>
          </w:p>
        </w:tc>
      </w:tr>
      <w:tr>
        <w:tc>
          <w:tcPr>
            <w:tcW w:type="dxa" w:w="1800"/>
            <w:vAlign w:val="top"/>
            <w:tcMar>
              <w:top w:w="80" w:type="dxa"/>
              <w:start w:w="120" w:type="dxa"/>
              <w:bottom w:w="80" w:type="dxa"/>
              <w:end w:w="120" w:type="dxa"/>
            </w:tcMar>
          </w:tcPr>
          <w:p>
            <w:pPr>
              <w:spacing w:after="0" w:line="252" w:lineRule="auto"/>
            </w:pPr>
            <w:r>
              <w:rPr>
                <w:rFonts w:ascii="Calibri" w:hAnsi="Calibri"/>
                <w:b w:val="0"/>
                <w:i w:val="0"/>
                <w:color w:val="000000"/>
                <w:sz w:val="18"/>
              </w:rPr>
              <w:t>Aug. 6 - tonight</w:t>
            </w:r>
          </w:p>
        </w:tc>
        <w:tc>
          <w:tcPr>
            <w:tcW w:type="dxa" w:w="5400"/>
            <w:vAlign w:val="top"/>
            <w:tcMar>
              <w:top w:w="80" w:type="dxa"/>
              <w:start w:w="120" w:type="dxa"/>
              <w:bottom w:w="80" w:type="dxa"/>
              <w:end w:w="120" w:type="dxa"/>
            </w:tcMar>
          </w:tcPr>
          <w:p>
            <w:pPr>
              <w:spacing w:after="0" w:line="252" w:lineRule="auto"/>
            </w:pPr>
            <w:r>
              <w:rPr>
                <w:rFonts w:ascii="Calibri" w:hAnsi="Calibri"/>
                <w:b w:val="0"/>
                <w:i w:val="0"/>
                <w:color w:val="000000"/>
                <w:sz w:val="18"/>
              </w:rPr>
              <w:t>Confirm Prime Fit lead role; confirm board/team roles; approve YHSI-only strategy; assign missing information and letters</w:t>
            </w:r>
          </w:p>
        </w:tc>
        <w:tc>
          <w:tcPr>
            <w:tcW w:type="dxa" w:w="216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Vernetta, Eric, Dr. Flood</w:t>
            </w:r>
          </w:p>
        </w:tc>
      </w:tr>
      <w:tr>
        <w:tc>
          <w:tcPr>
            <w:tcW w:type="dxa" w:w="1800"/>
            <w:vAlign w:val="top"/>
            <w:tcMar>
              <w:top w:w="80" w:type="dxa"/>
              <w:start w:w="120" w:type="dxa"/>
              <w:bottom w:w="80" w:type="dxa"/>
              <w:end w:w="120" w:type="dxa"/>
            </w:tcMar>
          </w:tcPr>
          <w:p>
            <w:pPr>
              <w:spacing w:after="0" w:line="252" w:lineRule="auto"/>
            </w:pPr>
            <w:r>
              <w:rPr>
                <w:rFonts w:ascii="Calibri" w:hAnsi="Calibri"/>
                <w:b w:val="0"/>
                <w:i w:val="0"/>
                <w:color w:val="000000"/>
                <w:sz w:val="18"/>
              </w:rPr>
              <w:t>Aug. 7 - morning</w:t>
            </w:r>
          </w:p>
        </w:tc>
        <w:tc>
          <w:tcPr>
            <w:tcW w:type="dxa" w:w="5400"/>
            <w:vAlign w:val="top"/>
            <w:tcMar>
              <w:top w:w="80" w:type="dxa"/>
              <w:start w:w="120" w:type="dxa"/>
              <w:bottom w:w="80" w:type="dxa"/>
              <w:end w:w="120" w:type="dxa"/>
            </w:tcMar>
          </w:tcPr>
          <w:p>
            <w:pPr>
              <w:spacing w:after="0" w:line="252" w:lineRule="auto"/>
            </w:pPr>
            <w:r>
              <w:rPr>
                <w:rFonts w:ascii="Calibri" w:hAnsi="Calibri"/>
                <w:b w:val="0"/>
                <w:i w:val="0"/>
                <w:color w:val="000000"/>
                <w:sz w:val="18"/>
              </w:rPr>
              <w:t>Complete compliance matrix; obtain organizational registration details; receive partner commitments and verified need data</w:t>
            </w:r>
          </w:p>
        </w:tc>
        <w:tc>
          <w:tcPr>
            <w:tcW w:type="dxa" w:w="2160"/>
            <w:vAlign w:val="top"/>
            <w:tcMar>
              <w:top w:w="80" w:type="dxa"/>
              <w:start w:w="120" w:type="dxa"/>
              <w:bottom w:w="80" w:type="dxa"/>
              <w:end w:w="120" w:type="dxa"/>
            </w:tcMar>
          </w:tcPr>
          <w:p>
            <w:pPr>
              <w:spacing w:after="0" w:line="252" w:lineRule="auto"/>
            </w:pPr>
            <w:r>
              <w:rPr>
                <w:rFonts w:ascii="Calibri" w:hAnsi="Calibri"/>
                <w:b w:val="0"/>
                <w:i w:val="0"/>
                <w:color w:val="000000"/>
                <w:sz w:val="18"/>
              </w:rPr>
              <w:t>Eric, Prime Fit, Vernetta</w:t>
            </w:r>
          </w:p>
        </w:tc>
      </w:tr>
      <w:tr>
        <w:tc>
          <w:tcPr>
            <w:tcW w:type="dxa" w:w="1800"/>
            <w:vAlign w:val="top"/>
            <w:tcMar>
              <w:top w:w="80" w:type="dxa"/>
              <w:start w:w="120" w:type="dxa"/>
              <w:bottom w:w="80" w:type="dxa"/>
              <w:end w:w="120" w:type="dxa"/>
            </w:tcMar>
          </w:tcPr>
          <w:p>
            <w:pPr>
              <w:spacing w:after="0" w:line="252" w:lineRule="auto"/>
            </w:pPr>
            <w:r>
              <w:rPr>
                <w:rFonts w:ascii="Calibri" w:hAnsi="Calibri"/>
                <w:b w:val="0"/>
                <w:i w:val="0"/>
                <w:color w:val="000000"/>
                <w:sz w:val="18"/>
              </w:rPr>
              <w:t>Aug. 7 - evening</w:t>
            </w:r>
          </w:p>
        </w:tc>
        <w:tc>
          <w:tcPr>
            <w:tcW w:type="dxa" w:w="5400"/>
            <w:vAlign w:val="top"/>
            <w:tcMar>
              <w:top w:w="80" w:type="dxa"/>
              <w:start w:w="120" w:type="dxa"/>
              <w:bottom w:w="80" w:type="dxa"/>
              <w:end w:w="120" w:type="dxa"/>
            </w:tcMar>
          </w:tcPr>
          <w:p>
            <w:pPr>
              <w:spacing w:after="0" w:line="252" w:lineRule="auto"/>
            </w:pPr>
            <w:r>
              <w:rPr>
                <w:rFonts w:ascii="Calibri" w:hAnsi="Calibri"/>
                <w:b w:val="0"/>
                <w:i w:val="0"/>
                <w:color w:val="000000"/>
                <w:sz w:val="18"/>
              </w:rPr>
              <w:t>Complete first full narrative and system-design framework; prepare working budget</w:t>
            </w:r>
          </w:p>
        </w:tc>
        <w:tc>
          <w:tcPr>
            <w:tcW w:type="dxa" w:w="2160"/>
            <w:vAlign w:val="top"/>
            <w:tcMar>
              <w:top w:w="80" w:type="dxa"/>
              <w:start w:w="120" w:type="dxa"/>
              <w:bottom w:w="80" w:type="dxa"/>
              <w:end w:w="120" w:type="dxa"/>
            </w:tcMar>
          </w:tcPr>
          <w:p>
            <w:pPr>
              <w:spacing w:after="0" w:line="252" w:lineRule="auto"/>
            </w:pPr>
            <w:r>
              <w:rPr>
                <w:rFonts w:ascii="Calibri" w:hAnsi="Calibri"/>
                <w:b w:val="0"/>
                <w:i w:val="0"/>
                <w:color w:val="000000"/>
                <w:sz w:val="18"/>
              </w:rPr>
              <w:t>Eric, Dr. Flood, Prime Fit</w:t>
            </w:r>
          </w:p>
        </w:tc>
      </w:tr>
      <w:tr>
        <w:tc>
          <w:tcPr>
            <w:tcW w:type="dxa" w:w="1800"/>
            <w:vAlign w:val="top"/>
            <w:tcMar>
              <w:top w:w="80" w:type="dxa"/>
              <w:start w:w="120" w:type="dxa"/>
              <w:bottom w:w="80" w:type="dxa"/>
              <w:end w:w="120" w:type="dxa"/>
            </w:tcMar>
          </w:tcPr>
          <w:p>
            <w:pPr>
              <w:spacing w:after="0" w:line="252" w:lineRule="auto"/>
            </w:pPr>
            <w:r>
              <w:rPr>
                <w:rFonts w:ascii="Calibri" w:hAnsi="Calibri"/>
                <w:b w:val="0"/>
                <w:i w:val="0"/>
                <w:color w:val="000000"/>
                <w:sz w:val="18"/>
              </w:rPr>
              <w:t>Aug. 8</w:t>
            </w:r>
          </w:p>
        </w:tc>
        <w:tc>
          <w:tcPr>
            <w:tcW w:type="dxa" w:w="5400"/>
            <w:vAlign w:val="top"/>
            <w:tcMar>
              <w:top w:w="80" w:type="dxa"/>
              <w:start w:w="120" w:type="dxa"/>
              <w:bottom w:w="80" w:type="dxa"/>
              <w:end w:w="120" w:type="dxa"/>
            </w:tcMar>
          </w:tcPr>
          <w:p>
            <w:pPr>
              <w:spacing w:after="0" w:line="252" w:lineRule="auto"/>
            </w:pPr>
            <w:r>
              <w:rPr>
                <w:rFonts w:ascii="Calibri" w:hAnsi="Calibri"/>
                <w:b w:val="0"/>
                <w:i w:val="0"/>
                <w:color w:val="000000"/>
                <w:sz w:val="18"/>
              </w:rPr>
              <w:t>Resolve gaps; integrate letters, youth leadership plan, implementation schedule, measures, and budget narrative</w:t>
            </w:r>
          </w:p>
        </w:tc>
        <w:tc>
          <w:tcPr>
            <w:tcW w:type="dxa" w:w="2160"/>
            <w:vAlign w:val="top"/>
            <w:tcMar>
              <w:top w:w="80" w:type="dxa"/>
              <w:start w:w="120" w:type="dxa"/>
              <w:bottom w:w="80" w:type="dxa"/>
              <w:end w:w="120" w:type="dxa"/>
            </w:tcMar>
          </w:tcPr>
          <w:p>
            <w:pPr>
              <w:spacing w:after="0" w:line="252" w:lineRule="auto"/>
            </w:pPr>
            <w:r>
              <w:rPr>
                <w:rFonts w:ascii="Calibri" w:hAnsi="Calibri"/>
                <w:b w:val="0"/>
                <w:i w:val="0"/>
                <w:color w:val="000000"/>
                <w:sz w:val="18"/>
              </w:rPr>
              <w:t>Full team</w:t>
            </w:r>
          </w:p>
        </w:tc>
      </w:tr>
      <w:tr>
        <w:tc>
          <w:tcPr>
            <w:tcW w:type="dxa" w:w="1800"/>
            <w:vAlign w:val="top"/>
            <w:tcMar>
              <w:top w:w="80" w:type="dxa"/>
              <w:start w:w="120" w:type="dxa"/>
              <w:bottom w:w="80" w:type="dxa"/>
              <w:end w:w="120" w:type="dxa"/>
            </w:tcMar>
          </w:tcPr>
          <w:p>
            <w:pPr>
              <w:spacing w:after="0" w:line="252" w:lineRule="auto"/>
            </w:pPr>
            <w:r>
              <w:rPr>
                <w:rFonts w:ascii="Calibri" w:hAnsi="Calibri"/>
                <w:b w:val="0"/>
                <w:i w:val="0"/>
                <w:color w:val="000000"/>
                <w:sz w:val="18"/>
              </w:rPr>
              <w:t>Aug. 9</w:t>
            </w:r>
          </w:p>
        </w:tc>
        <w:tc>
          <w:tcPr>
            <w:tcW w:type="dxa" w:w="5400"/>
            <w:vAlign w:val="top"/>
            <w:tcMar>
              <w:top w:w="80" w:type="dxa"/>
              <w:start w:w="120" w:type="dxa"/>
              <w:bottom w:w="80" w:type="dxa"/>
              <w:end w:w="120" w:type="dxa"/>
            </w:tcMar>
          </w:tcPr>
          <w:p>
            <w:pPr>
              <w:spacing w:after="0" w:line="252" w:lineRule="auto"/>
            </w:pPr>
            <w:r>
              <w:rPr>
                <w:rFonts w:ascii="Calibri" w:hAnsi="Calibri"/>
                <w:b w:val="0"/>
                <w:i w:val="0"/>
                <w:color w:val="000000"/>
                <w:sz w:val="18"/>
              </w:rPr>
              <w:t>Red-team review for scoring and compliance; final edits; convert and inspect attachments; begin e-snaps entry</w:t>
            </w:r>
          </w:p>
        </w:tc>
        <w:tc>
          <w:tcPr>
            <w:tcW w:type="dxa" w:w="2160"/>
            <w:vAlign w:val="top"/>
            <w:tcMar>
              <w:top w:w="80" w:type="dxa"/>
              <w:start w:w="120" w:type="dxa"/>
              <w:bottom w:w="80" w:type="dxa"/>
              <w:end w:w="120" w:type="dxa"/>
            </w:tcMar>
          </w:tcPr>
          <w:p>
            <w:pPr>
              <w:spacing w:after="0" w:line="252" w:lineRule="auto"/>
            </w:pPr>
            <w:r>
              <w:rPr>
                <w:rFonts w:ascii="Calibri" w:hAnsi="Calibri"/>
                <w:b w:val="0"/>
                <w:i w:val="0"/>
                <w:color w:val="000000"/>
                <w:sz w:val="18"/>
              </w:rPr>
              <w:t>Eric, Dr. Flood, Prime Fit AOR</w:t>
            </w:r>
          </w:p>
        </w:tc>
      </w:tr>
      <w:tr>
        <w:tc>
          <w:tcPr>
            <w:tcW w:type="dxa" w:w="1800"/>
            <w:vAlign w:val="top"/>
            <w:tcMar>
              <w:top w:w="80" w:type="dxa"/>
              <w:start w:w="120" w:type="dxa"/>
              <w:bottom w:w="80" w:type="dxa"/>
              <w:end w:w="120" w:type="dxa"/>
            </w:tcMar>
          </w:tcPr>
          <w:p>
            <w:pPr>
              <w:spacing w:after="0" w:line="252" w:lineRule="auto"/>
            </w:pPr>
            <w:r>
              <w:rPr>
                <w:rFonts w:ascii="Calibri" w:hAnsi="Calibri"/>
                <w:b w:val="0"/>
                <w:i w:val="0"/>
                <w:color w:val="000000"/>
                <w:sz w:val="18"/>
              </w:rPr>
              <w:t>Aug. 10 - noon CT</w:t>
            </w:r>
          </w:p>
        </w:tc>
        <w:tc>
          <w:tcPr>
            <w:tcW w:type="dxa" w:w="5400"/>
            <w:vAlign w:val="top"/>
            <w:tcMar>
              <w:top w:w="80" w:type="dxa"/>
              <w:start w:w="120" w:type="dxa"/>
              <w:bottom w:w="80" w:type="dxa"/>
              <w:end w:w="120" w:type="dxa"/>
            </w:tcMar>
          </w:tcPr>
          <w:p>
            <w:pPr>
              <w:spacing w:after="0" w:line="252" w:lineRule="auto"/>
            </w:pPr>
            <w:r>
              <w:rPr>
                <w:rFonts w:ascii="Calibri" w:hAnsi="Calibri"/>
                <w:b w:val="0"/>
                <w:i w:val="0"/>
                <w:color w:val="000000"/>
                <w:sz w:val="18"/>
              </w:rPr>
              <w:t>Complete e-snaps validation and authorized review; resolve all errors</w:t>
            </w:r>
          </w:p>
        </w:tc>
        <w:tc>
          <w:tcPr>
            <w:tcW w:type="dxa" w:w="216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and Eric</w:t>
            </w:r>
          </w:p>
        </w:tc>
      </w:tr>
      <w:tr>
        <w:tc>
          <w:tcPr>
            <w:tcW w:type="dxa" w:w="1800"/>
            <w:vAlign w:val="top"/>
            <w:tcMar>
              <w:top w:w="80" w:type="dxa"/>
              <w:start w:w="120" w:type="dxa"/>
              <w:bottom w:w="80" w:type="dxa"/>
              <w:end w:w="120" w:type="dxa"/>
            </w:tcMar>
          </w:tcPr>
          <w:p>
            <w:pPr>
              <w:spacing w:after="0" w:line="252" w:lineRule="auto"/>
            </w:pPr>
            <w:r>
              <w:rPr>
                <w:rFonts w:ascii="Calibri" w:hAnsi="Calibri"/>
                <w:b w:val="0"/>
                <w:i w:val="0"/>
                <w:color w:val="000000"/>
                <w:sz w:val="18"/>
              </w:rPr>
              <w:t>Aug. 10 - 3:00 PM CT</w:t>
            </w:r>
          </w:p>
        </w:tc>
        <w:tc>
          <w:tcPr>
            <w:tcW w:type="dxa" w:w="5400"/>
            <w:vAlign w:val="top"/>
            <w:tcMar>
              <w:top w:w="80" w:type="dxa"/>
              <w:start w:w="120" w:type="dxa"/>
              <w:bottom w:w="80" w:type="dxa"/>
              <w:end w:w="120" w:type="dxa"/>
            </w:tcMar>
          </w:tcPr>
          <w:p>
            <w:pPr>
              <w:spacing w:after="0" w:line="252" w:lineRule="auto"/>
            </w:pPr>
            <w:r>
              <w:rPr>
                <w:rFonts w:ascii="Calibri" w:hAnsi="Calibri"/>
                <w:b w:val="0"/>
                <w:i w:val="0"/>
                <w:color w:val="000000"/>
                <w:sz w:val="18"/>
              </w:rPr>
              <w:t>Submit and save proof of submission, final package, and receipt</w:t>
            </w:r>
          </w:p>
        </w:tc>
        <w:tc>
          <w:tcPr>
            <w:tcW w:type="dxa" w:w="216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authorized representative</w:t>
            </w:r>
          </w:p>
        </w:tc>
      </w:tr>
    </w:tbl>
    <w:p>
      <w:pPr>
        <w:spacing w:after="40"/>
      </w:pPr>
    </w:p>
    <w:p>
      <w:pPr>
        <w:pStyle w:val="Heading1"/>
      </w:pPr>
      <w:r>
        <w:t>6. Decisions Required at the August 6 Meeting</w:t>
      </w:r>
    </w:p>
    <w:p>
      <w:pPr>
        <w:pStyle w:val="ListNumber"/>
        <w:spacing w:after="80" w:line="300" w:lineRule="auto"/>
      </w:pPr>
      <w:r>
        <w:rPr>
          <w:rFonts w:ascii="Calibri" w:hAnsi="Calibri"/>
          <w:b w:val="0"/>
          <w:i w:val="0"/>
          <w:color w:val="000000"/>
          <w:sz w:val="22"/>
        </w:rPr>
        <w:t>Will Prime Fit formally serve as lead applicant and accept fiscal, compliance, and submission responsibility?</w:t>
      </w:r>
    </w:p>
    <w:p>
      <w:pPr>
        <w:pStyle w:val="ListNumber"/>
        <w:spacing w:after="80" w:line="300" w:lineRule="auto"/>
      </w:pPr>
      <w:r>
        <w:rPr>
          <w:rFonts w:ascii="Calibri" w:hAnsi="Calibri"/>
          <w:b w:val="0"/>
          <w:i w:val="0"/>
          <w:color w:val="000000"/>
          <w:sz w:val="22"/>
        </w:rPr>
        <w:t>Who is Prime Fit’s authorized representative, e-snaps user, fiscal lead, and final approver?</w:t>
      </w:r>
    </w:p>
    <w:p>
      <w:pPr>
        <w:pStyle w:val="ListNumber"/>
        <w:spacing w:after="80" w:line="300" w:lineRule="auto"/>
      </w:pPr>
      <w:r>
        <w:rPr>
          <w:rFonts w:ascii="Calibri" w:hAnsi="Calibri"/>
          <w:b w:val="0"/>
          <w:i w:val="0"/>
          <w:color w:val="000000"/>
          <w:sz w:val="22"/>
        </w:rPr>
        <w:t>Will USD 259 McKinney-Vento provide a letter, referral role, and verified data? If not, who will secure comparable CoC participation immediately?</w:t>
      </w:r>
    </w:p>
    <w:p>
      <w:pPr>
        <w:pStyle w:val="ListNumber"/>
        <w:spacing w:after="80" w:line="300" w:lineRule="auto"/>
      </w:pPr>
      <w:r>
        <w:rPr>
          <w:rFonts w:ascii="Calibri" w:hAnsi="Calibri"/>
          <w:b w:val="0"/>
          <w:i w:val="0"/>
          <w:color w:val="000000"/>
          <w:sz w:val="22"/>
        </w:rPr>
        <w:t>Which two or more youth with lived experience will participate, and how will their input be documented?</w:t>
      </w:r>
    </w:p>
    <w:p>
      <w:pPr>
        <w:pStyle w:val="ListNumber"/>
        <w:spacing w:after="80" w:line="300" w:lineRule="auto"/>
      </w:pPr>
      <w:r>
        <w:rPr>
          <w:rFonts w:ascii="Calibri" w:hAnsi="Calibri"/>
          <w:b w:val="0"/>
          <w:i w:val="0"/>
          <w:color w:val="000000"/>
          <w:sz w:val="22"/>
        </w:rPr>
        <w:t>What exact system-improvement activities will be funded, and what direct-service activities must remain outside the YHSI budget?</w:t>
      </w:r>
    </w:p>
    <w:p>
      <w:pPr>
        <w:pStyle w:val="ListNumber"/>
        <w:spacing w:after="80" w:line="300" w:lineRule="auto"/>
      </w:pPr>
      <w:r>
        <w:rPr>
          <w:rFonts w:ascii="Calibri" w:hAnsi="Calibri"/>
          <w:b w:val="0"/>
          <w:i w:val="0"/>
          <w:color w:val="000000"/>
          <w:sz w:val="22"/>
        </w:rPr>
        <w:t>Which partner letters and organizational documents remain outstanding, and who owns each item?</w:t>
      </w:r>
    </w:p>
    <w:p>
      <w:pPr>
        <w:pStyle w:val="ListNumber"/>
        <w:spacing w:after="80" w:line="300" w:lineRule="auto"/>
      </w:pPr>
      <w:r>
        <w:rPr>
          <w:rFonts w:ascii="Calibri" w:hAnsi="Calibri"/>
          <w:b w:val="0"/>
          <w:i w:val="0"/>
          <w:color w:val="000000"/>
          <w:sz w:val="22"/>
        </w:rPr>
        <w:t>What internal review and sign-off times will the team use to protect the federal deadline?</w:t>
      </w:r>
    </w:p>
    <w:p>
      <w:pPr>
        <w:pStyle w:val="Heading1"/>
      </w:pPr>
      <w:r>
        <w:t>7. Final Pre-Submission Control Checklist</w:t>
      </w:r>
    </w:p>
    <w:tbl>
      <w:tblPr>
        <w:tblStyle w:val="TableGrid"/>
        <w:tblW w:type="dxa" w:w="9360"/>
        <w:jc w:val="left"/>
        <w:tblLayout w:type="fixed"/>
        <w:tblLook w:firstColumn="1" w:firstRow="1" w:lastColumn="0" w:lastRow="0" w:noHBand="0" w:noVBand="1" w:val="04A0"/>
        <w:tblInd w:w="120" w:type="dxa"/>
      </w:tblPr>
      <w:tblGrid>
        <w:gridCol w:w="4700"/>
        <w:gridCol w:w="2100"/>
        <w:gridCol w:w="2560"/>
      </w:tblGrid>
      <w:tr>
        <w:trPr>
          <w:tblHeader w:val="true"/>
        </w:trPr>
        <w:tc>
          <w:tcPr>
            <w:tcW w:type="dxa" w:w="4700"/>
            <w:shd w:fill="E8EEF5"/>
            <w:vAlign w:val="center"/>
            <w:tcMar>
              <w:top w:w="80" w:type="dxa"/>
              <w:start w:w="120" w:type="dxa"/>
              <w:bottom w:w="80" w:type="dxa"/>
              <w:end w:w="120" w:type="dxa"/>
            </w:tcMar>
          </w:tcPr>
          <w:p>
            <w:pPr>
              <w:spacing w:after="0"/>
            </w:pPr>
            <w:r>
              <w:rPr>
                <w:rFonts w:ascii="Calibri" w:hAnsi="Calibri"/>
                <w:b/>
                <w:i w:val="0"/>
                <w:color w:val="163A5F"/>
                <w:sz w:val="19"/>
              </w:rPr>
              <w:t>Control</w:t>
            </w:r>
          </w:p>
        </w:tc>
        <w:tc>
          <w:tcPr>
            <w:tcW w:type="dxa" w:w="2100"/>
            <w:shd w:fill="E8EEF5"/>
            <w:vAlign w:val="center"/>
            <w:tcMar>
              <w:top w:w="80" w:type="dxa"/>
              <w:start w:w="120" w:type="dxa"/>
              <w:bottom w:w="80" w:type="dxa"/>
              <w:end w:w="120" w:type="dxa"/>
            </w:tcMar>
          </w:tcPr>
          <w:p>
            <w:pPr>
              <w:spacing w:after="0"/>
            </w:pPr>
            <w:r>
              <w:rPr>
                <w:rFonts w:ascii="Calibri" w:hAnsi="Calibri"/>
                <w:b/>
                <w:i w:val="0"/>
                <w:color w:val="163A5F"/>
                <w:sz w:val="19"/>
              </w:rPr>
              <w:t>Owner</w:t>
            </w:r>
          </w:p>
        </w:tc>
        <w:tc>
          <w:tcPr>
            <w:tcW w:type="dxa" w:w="2560"/>
            <w:shd w:fill="E8EEF5"/>
            <w:vAlign w:val="center"/>
            <w:tcMar>
              <w:top w:w="80" w:type="dxa"/>
              <w:start w:w="120" w:type="dxa"/>
              <w:bottom w:w="80" w:type="dxa"/>
              <w:end w:w="120" w:type="dxa"/>
            </w:tcMar>
          </w:tcPr>
          <w:p>
            <w:pPr>
              <w:spacing w:after="0"/>
            </w:pPr>
            <w:r>
              <w:rPr>
                <w:rFonts w:ascii="Calibri" w:hAnsi="Calibri"/>
                <w:b/>
                <w:i w:val="0"/>
                <w:color w:val="163A5F"/>
                <w:sz w:val="19"/>
              </w:rPr>
              <w:t>Status / Evidence</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Prime applicant and authorized representative confirmed</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SAM/UEI and e-snaps access verified</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All NOFO prompts mapped to the final narrative</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Eric</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Youth leadership requirement documented</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Vernetta / Eric</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USD 259 or CoC commitment documented</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Vernetta</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High priority - 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System design, implementation plan, and measures complete</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Dr. Flood / Eric</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Budget and narrative reconcile</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 Eric</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Required forms complete and signed</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Attachments readable, permitted, and correctly named</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Eric</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e-snaps validation returns no unresolved errors</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 Eric</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r>
        <w:tc>
          <w:tcPr>
            <w:tcW w:type="dxa" w:w="4700"/>
            <w:vAlign w:val="top"/>
            <w:tcMar>
              <w:top w:w="80" w:type="dxa"/>
              <w:start w:w="120" w:type="dxa"/>
              <w:bottom w:w="80" w:type="dxa"/>
              <w:end w:w="120" w:type="dxa"/>
            </w:tcMar>
          </w:tcPr>
          <w:p>
            <w:pPr>
              <w:spacing w:after="0" w:line="252" w:lineRule="auto"/>
            </w:pPr>
            <w:r>
              <w:rPr>
                <w:rFonts w:ascii="Calibri" w:hAnsi="Calibri"/>
                <w:b w:val="0"/>
                <w:i w:val="0"/>
                <w:color w:val="000000"/>
                <w:sz w:val="18"/>
              </w:rPr>
              <w:t>Final approval documented and submission receipt saved</w:t>
            </w:r>
          </w:p>
        </w:tc>
        <w:tc>
          <w:tcPr>
            <w:tcW w:type="dxa" w:w="2100"/>
            <w:vAlign w:val="top"/>
            <w:tcMar>
              <w:top w:w="80" w:type="dxa"/>
              <w:start w:w="120" w:type="dxa"/>
              <w:bottom w:w="80" w:type="dxa"/>
              <w:end w:w="120" w:type="dxa"/>
            </w:tcMar>
          </w:tcPr>
          <w:p>
            <w:pPr>
              <w:spacing w:after="0" w:line="252" w:lineRule="auto"/>
            </w:pPr>
            <w:r>
              <w:rPr>
                <w:rFonts w:ascii="Calibri" w:hAnsi="Calibri"/>
                <w:b w:val="0"/>
                <w:i w:val="0"/>
                <w:color w:val="000000"/>
                <w:sz w:val="18"/>
              </w:rPr>
              <w:t>Prime Fit AOR</w:t>
            </w:r>
          </w:p>
        </w:tc>
        <w:tc>
          <w:tcPr>
            <w:tcW w:type="dxa" w:w="2560"/>
            <w:vAlign w:val="top"/>
            <w:tcMar>
              <w:top w:w="80" w:type="dxa"/>
              <w:start w:w="120" w:type="dxa"/>
              <w:bottom w:w="80" w:type="dxa"/>
              <w:end w:w="120" w:type="dxa"/>
            </w:tcMar>
          </w:tcPr>
          <w:p>
            <w:pPr>
              <w:spacing w:after="0" w:line="252" w:lineRule="auto"/>
            </w:pPr>
            <w:r>
              <w:rPr>
                <w:rFonts w:ascii="Calibri" w:hAnsi="Calibri"/>
                <w:b w:val="0"/>
                <w:i w:val="0"/>
                <w:color w:val="000000"/>
                <w:sz w:val="18"/>
              </w:rPr>
              <w:t>Pending</w:t>
            </w:r>
          </w:p>
        </w:tc>
      </w:tr>
    </w:tbl>
    <w:p>
      <w:pPr>
        <w:spacing w:after="40"/>
      </w:pPr>
    </w:p>
    <w:p>
      <w:pPr>
        <w:pStyle w:val="Heading1"/>
      </w:pPr>
      <w:r>
        <w:t>8. Key Risk Controls</w:t>
      </w:r>
    </w:p>
    <w:p>
      <w:pPr>
        <w:spacing w:after="120" w:line="300" w:lineRule="auto"/>
      </w:pPr>
      <w:r>
        <w:rPr>
          <w:rFonts w:ascii="Calibri" w:hAnsi="Calibri"/>
          <w:b/>
          <w:i w:val="0"/>
          <w:color w:val="000000"/>
          <w:sz w:val="22"/>
        </w:rPr>
        <w:t>Lead-applicant risk:</w:t>
      </w:r>
      <w:r>
        <w:rPr>
          <w:rFonts w:ascii="Calibri" w:hAnsi="Calibri"/>
          <w:b w:val="0"/>
          <w:i w:val="0"/>
          <w:color w:val="000000"/>
          <w:sz w:val="22"/>
        </w:rPr>
        <w:t xml:space="preserve"> No narrative work can substitute for Prime Fit’s timely confirmation, registration readiness, and authorized submission capacity. Escalate immediately if any of these elements are uncertain.</w:t>
      </w:r>
    </w:p>
    <w:p>
      <w:pPr>
        <w:spacing w:after="120" w:line="300" w:lineRule="auto"/>
      </w:pPr>
      <w:r>
        <w:rPr>
          <w:rFonts w:ascii="Calibri" w:hAnsi="Calibri"/>
          <w:b/>
          <w:i w:val="0"/>
          <w:color w:val="000000"/>
          <w:sz w:val="22"/>
        </w:rPr>
        <w:t>System-partner risk:</w:t>
      </w:r>
      <w:r>
        <w:rPr>
          <w:rFonts w:ascii="Calibri" w:hAnsi="Calibri"/>
          <w:b w:val="0"/>
          <w:i w:val="0"/>
          <w:color w:val="000000"/>
          <w:sz w:val="22"/>
        </w:rPr>
        <w:t xml:space="preserve"> USD 259 McKinney-Vento support is preferred because it can establish a credible youth-identification and referral pathway. If that support cannot be secured promptly, obtain substantive CoC participation that demonstrates system integration, not only a generic endorsement.</w:t>
      </w:r>
    </w:p>
    <w:p>
      <w:pPr>
        <w:spacing w:after="120" w:line="300" w:lineRule="auto"/>
      </w:pPr>
      <w:r>
        <w:rPr>
          <w:rFonts w:ascii="Calibri" w:hAnsi="Calibri"/>
          <w:b/>
          <w:i w:val="0"/>
          <w:color w:val="000000"/>
          <w:sz w:val="22"/>
        </w:rPr>
        <w:t>Eligibility risk:</w:t>
      </w:r>
      <w:r>
        <w:rPr>
          <w:rFonts w:ascii="Calibri" w:hAnsi="Calibri"/>
          <w:b w:val="0"/>
          <w:i w:val="0"/>
          <w:color w:val="000000"/>
          <w:sz w:val="22"/>
        </w:rPr>
        <w:t xml:space="preserve"> Keep the YHSI proposal focused on systems change. Housing assistance and direct services should be described as partner resources or referral destinations, not proposed YHSI-funded costs.</w:t>
      </w:r>
    </w:p>
    <w:p>
      <w:pPr>
        <w:spacing w:after="120" w:line="300" w:lineRule="auto"/>
      </w:pPr>
      <w:r>
        <w:rPr>
          <w:rFonts w:ascii="Calibri" w:hAnsi="Calibri"/>
          <w:b/>
          <w:i w:val="0"/>
          <w:color w:val="000000"/>
          <w:sz w:val="22"/>
        </w:rPr>
        <w:t>Deadline risk:</w:t>
      </w:r>
      <w:r>
        <w:rPr>
          <w:rFonts w:ascii="Calibri" w:hAnsi="Calibri"/>
          <w:b w:val="0"/>
          <w:i w:val="0"/>
          <w:color w:val="000000"/>
          <w:sz w:val="22"/>
        </w:rPr>
        <w:t xml:space="preserve"> The federal deadline is not the working deadline. Final submission should occur by 3:00 PM Central on August 10 to allow time for technical issues and confirmation.</w:t>
      </w:r>
    </w:p>
    <w:p>
      <w:pPr>
        <w:pStyle w:val="Heading1"/>
      </w:pPr>
      <w:r>
        <w:t>9. Definition of a Complete Submission</w:t>
      </w:r>
    </w:p>
    <w:p>
      <w:pPr>
        <w:spacing w:after="120" w:line="300" w:lineRule="auto"/>
      </w:pPr>
      <w:r>
        <w:rPr>
          <w:rFonts w:ascii="Calibri" w:hAnsi="Calibri"/>
          <w:b w:val="0"/>
          <w:i w:val="0"/>
          <w:color w:val="000000"/>
          <w:sz w:val="22"/>
        </w:rPr>
        <w:t>The application is complete only when the narrative, budget, forms, certifications, partner evidence, and e-snaps data agree; all required fields and signatures are present; the system validates without unresolved errors; the authorized representative submits the package; and the team saves the final application and timestamped submission confirmation.</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Working document | Prepared August 6,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55555"/>
        <w:sz w:val="17"/>
      </w:rPr>
      <w:t>HUD Youth Homelessness RFP | Submission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