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00"/>
        <w:jc w:val="center"/>
      </w:pPr>
      <w:r>
        <w:rPr>
          <w:b/>
          <w:bCs/>
          <w:color w:val="1F3A5F"/>
          <w:sz w:val="36"/>
          <w:szCs w:val="36"/>
        </w:rPr>
        <w:t xml:space="preserve">Austin and Pflugerville Housing Gap and Needs Assessment</w:t>
      </w:r>
    </w:p>
    <w:p>
      <w:pPr>
        <w:pStyle w:val="Heading2"/>
        <w:spacing w:after="100" w:before="280"/>
      </w:pPr>
      <w:r>
        <w:rPr>
          <w:b/>
          <w:bCs/>
          <w:color w:val="1F3A5F"/>
          <w:sz w:val="28"/>
          <w:szCs w:val="28"/>
        </w:rPr>
        <w:t xml:space="preserve">Prepared by ThriveUp Academy — March 19, 2026</w:t>
      </w:r>
    </w:p>
    <w:p>
      <w:pPr>
        <w:pStyle w:val="Heading3"/>
        <w:spacing w:after="80" w:before="200"/>
      </w:pPr>
      <w:r>
        <w:rPr>
          <w:b/>
          <w:bCs/>
          <w:color w:val="1F3A5F"/>
          <w:sz w:val="24"/>
          <w:szCs w:val="24"/>
        </w:rPr>
        <w:t xml:space="preserve">Plain-language brief for elected officials, city staff, foundations, partner nonprofits, employers, faith leaders, and residents</w:t>
      </w:r>
    </w:p>
    <w:p>
      <w:pPr>
        <w:spacing w:after="80"/>
      </w:pPr>
      <w:r>
        <w:t xml:space="preserve"/>
      </w:r>
    </w:p>
    <w:p>
      <w:pPr>
        <w:pBdr>
          <w:bottom w:val="single" w:color="CCCCCC" w:sz="6" w:space="1"/>
        </w:pBdr>
        <w:spacing w:after="120" w:before="120"/>
      </w:pPr>
      <w:r>
        <w:t xml:space="preserve"/>
      </w:r>
    </w:p>
    <w:p>
      <w:pPr>
        <w:spacing w:after="80"/>
      </w:pPr>
      <w:r>
        <w:t xml:space="preserve"/>
      </w:r>
    </w:p>
    <w:p>
      <w:pPr>
        <w:pStyle w:val="Heading2"/>
        <w:spacing w:after="100" w:before="280"/>
      </w:pPr>
      <w:r>
        <w:rPr>
          <w:b/>
          <w:bCs/>
          <w:color w:val="1F3A5F"/>
          <w:sz w:val="28"/>
          <w:szCs w:val="28"/>
        </w:rPr>
        <w:t xml:space="preserve">HOW TO READ THIS BRIEF</w:t>
      </w:r>
    </w:p>
    <w:p>
      <w:pPr>
        <w:spacing w:after="80"/>
      </w:pPr>
      <w:r>
        <w:t xml:space="preserve"/>
      </w:r>
    </w:p>
    <w:p>
      <w:pPr>
        <w:spacing w:after="60" w:before="60"/>
      </w:pPr>
      <w:r>
        <w:t xml:space="preserve">This document was written so that anyone can read it — a parent, a city council member, a teacher, a foundation officer, a small-business owner, or a federal grant reviewer — without needing to know government acronyms. The first time an acronym appears, it is spelled out in full. A short glossary is at the end.</w:t>
      </w:r>
    </w:p>
    <w:p>
      <w:pPr>
        <w:spacing w:after="80"/>
      </w:pPr>
      <w:r>
        <w:t xml:space="preserve"/>
      </w:r>
    </w:p>
    <w:p>
      <w:pPr>
        <w:spacing w:after="60" w:before="60"/>
      </w:pPr>
      <w:r>
        <w:rPr>
          <w:b/>
          <w:bCs/>
        </w:rPr>
        <w:t xml:space="preserve">The bottom line in two sentences:</w:t>
      </w:r>
      <w:r>
        <w:t xml:space="preserve"> The Austin–Pflugerville area along the Interstate 35 corridor is short more than 48,000 homes that working and lower-income families can afford. ThriveUp Academy's connected set of community-support platforms is built to help close that gap by joining housing, workforce, health, and youth services into one coordinated front door — and five active grant opportunities (totaling between $2.1 million and $3.4 million) line up directly with this work.</w:t>
      </w:r>
    </w:p>
    <w:p>
      <w:pPr>
        <w:spacing w:after="80"/>
      </w:pPr>
      <w:r>
        <w:t xml:space="preserve"/>
      </w:r>
    </w:p>
    <w:p>
      <w:pPr>
        <w:pBdr>
          <w:bottom w:val="single" w:color="CCCCCC" w:sz="6" w:space="1"/>
        </w:pBdr>
        <w:spacing w:after="120" w:before="120"/>
      </w:pPr>
      <w:r>
        <w:t xml:space="preserve"/>
      </w:r>
    </w:p>
    <w:p>
      <w:pPr>
        <w:spacing w:after="80"/>
      </w:pPr>
      <w:r>
        <w:t xml:space="preserve"/>
      </w:r>
    </w:p>
    <w:p>
      <w:pPr>
        <w:pStyle w:val="Heading2"/>
        <w:spacing w:after="100" w:before="280"/>
      </w:pPr>
      <w:r>
        <w:rPr>
          <w:b/>
          <w:bCs/>
          <w:color w:val="1F3A5F"/>
          <w:sz w:val="28"/>
          <w:szCs w:val="28"/>
        </w:rPr>
        <w:t xml:space="preserve">EXECUTIVE SUMMARY</w:t>
      </w:r>
    </w:p>
    <w:p>
      <w:pPr>
        <w:spacing w:after="80"/>
      </w:pPr>
      <w:r>
        <w:t xml:space="preserve"/>
      </w:r>
    </w:p>
    <w:p>
      <w:pPr>
        <w:spacing w:after="60" w:before="60"/>
      </w:pPr>
      <w:r>
        <w:t xml:space="preserve">The Austin–Pflugerville area faces a serious shortage of homes that working families, veterans, and people in historically underserved neighborhoods can afford. Median home prices sit at $429,000–$435,000 in Austin (only 2 of 75 ZIP codes are affordable to a median-income household) and around $390,000 in Pflugerville. The documented shortage is more than 48,000 homes for households earning less than 30% of Area Median Income (AMI is the regional household income figure that federal housing programs use to define affordability — for the Austin metro, 30% AMI is roughly $26,000 a year for a family of four). ThriveUp Academy's network of 19 connected community-support platforms is positioned to address housing stability through workforce training, health-care integration, and wraparound family services. Five active grant opportunities line up directly with this work.</w:t>
      </w:r>
    </w:p>
    <w:p>
      <w:pPr>
        <w:spacing w:after="80"/>
      </w:pPr>
      <w:r>
        <w:t xml:space="preserve"/>
      </w:r>
    </w:p>
    <w:p>
      <w:pPr>
        <w:pBdr>
          <w:bottom w:val="single" w:color="CCCCCC" w:sz="6" w:space="1"/>
        </w:pBdr>
        <w:spacing w:after="120" w:before="120"/>
      </w:pPr>
      <w:r>
        <w:t xml:space="preserve"/>
      </w:r>
    </w:p>
    <w:p>
      <w:pPr>
        <w:spacing w:after="80"/>
      </w:pPr>
      <w:r>
        <w:t xml:space="preserve"/>
      </w:r>
    </w:p>
    <w:p>
      <w:pPr>
        <w:pStyle w:val="Heading2"/>
        <w:spacing w:after="100" w:before="280"/>
      </w:pPr>
      <w:r>
        <w:rPr>
          <w:b/>
          <w:bCs/>
          <w:color w:val="1F3A5F"/>
          <w:sz w:val="28"/>
          <w:szCs w:val="28"/>
        </w:rPr>
        <w:t xml:space="preserve">PART 1: AUSTIN HOUSING CRISIS — BY THE NUMBERS</w:t>
      </w:r>
    </w:p>
    <w:p>
      <w:pPr>
        <w:spacing w:after="80"/>
      </w:pPr>
      <w:r>
        <w:t xml:space="preserve"/>
      </w:r>
    </w:p>
    <w:p>
      <w:pPr>
        <w:pStyle w:val="Heading3"/>
        <w:spacing w:after="80" w:before="200"/>
      </w:pPr>
      <w:r>
        <w:rPr>
          <w:b/>
          <w:bCs/>
          <w:color w:val="1F3A5F"/>
          <w:sz w:val="24"/>
          <w:szCs w:val="24"/>
        </w:rPr>
        <w:t xml:space="preserve">Why this matters</w:t>
      </w:r>
    </w:p>
    <w:p>
      <w:pPr>
        <w:spacing w:after="60" w:before="60"/>
      </w:pPr>
      <w:r>
        <w:t xml:space="preserve">When working families cannot find a home they can afford near their jobs, schools, or family, the consequences ripple through the whole region: longer commutes, more strain on emergency rooms, higher demand on schools that absorb relocated children, and rising rates of homelessness. These are everyone's costs, not just the costs to the families directly affected.</w:t>
      </w:r>
    </w:p>
    <w:p>
      <w:pPr>
        <w:spacing w:after="80"/>
      </w:pPr>
      <w:r>
        <w:t xml:space="preserve"/>
      </w:r>
    </w:p>
    <w:p>
      <w:pPr>
        <w:pStyle w:val="Heading3"/>
        <w:spacing w:after="80" w:before="200"/>
      </w:pPr>
      <w:r>
        <w:rPr>
          <w:b/>
          <w:bCs/>
          <w:color w:val="1F3A5F"/>
          <w:sz w:val="24"/>
          <w:szCs w:val="24"/>
        </w:rPr>
        <w:t xml:space="preserve">Market snapshot (2025–2026)</w:t>
      </w:r>
    </w:p>
    <w:tbl>
      <w:tblPr>
        <w:tblW w:type="dxa" w:w="90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tcW w:type="dxa" w:w="30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Measure</w:t>
            </w:r>
          </w:p>
        </w:tc>
        <w:tc>
          <w:tcPr>
            <w:tcW w:type="dxa" w:w="30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Austin</w:t>
            </w:r>
          </w:p>
        </w:tc>
        <w:tc>
          <w:tcPr>
            <w:tcW w:type="dxa" w:w="30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Pflugerville</w:t>
            </w:r>
          </w:p>
        </w:tc>
      </w:tr>
      <w:tr>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r>
    </w:tbl>
    <w:p>
      <w:pPr>
        <w:spacing w:after="120"/>
      </w:pPr>
      <w:r>
        <w:t xml:space="preserve"/>
      </w:r>
    </w:p>
    <w:p>
      <w:pPr>
        <w:spacing w:after="80"/>
      </w:pPr>
      <w:r>
        <w:t xml:space="preserve"/>
      </w:r>
    </w:p>
    <w:p>
      <w:pPr>
        <w:pStyle w:val="Heading3"/>
        <w:spacing w:after="80" w:before="200"/>
      </w:pPr>
      <w:r>
        <w:rPr>
          <w:b/>
          <w:bCs/>
          <w:color w:val="1F3A5F"/>
          <w:sz w:val="24"/>
          <w:szCs w:val="24"/>
        </w:rPr>
        <w:t xml:space="preserve">Who is most affected</w:t>
      </w:r>
    </w:p>
    <w:p>
      <w:pPr>
        <w:pStyle w:val="ListParagraph"/>
        <w:numPr>
          <w:ilvl w:val="0"/>
          <w:numId w:val="1"/>
        </w:numPr>
        <w:spacing w:after="40" w:before="40"/>
      </w:pPr>
      <w:r>
        <w:rPr>
          <w:b/>
          <w:bCs/>
        </w:rPr>
        <w:t xml:space="preserve">Veterans:</w:t>
      </w:r>
      <w:r>
        <w:t xml:space="preserve"> About 45,000 veterans live in the Austin metro. Veteran homelessness rose 12% regionally. The federal Department of Housing and Urban Development's HUD-VASH housing voucher program (HUD-Veterans Affairs Supportive Housing) currently has waitlists of 18 months.</w:t>
      </w:r>
    </w:p>
    <w:p>
      <w:pPr>
        <w:pStyle w:val="ListParagraph"/>
        <w:numPr>
          <w:ilvl w:val="0"/>
          <w:numId w:val="1"/>
        </w:numPr>
        <w:spacing w:after="40" w:before="40"/>
      </w:pPr>
      <w:r>
        <w:rPr>
          <w:b/>
          <w:bCs/>
        </w:rPr>
        <w:t xml:space="preserve">Black and Hispanic households:</w:t>
      </w:r>
      <w:r>
        <w:t xml:space="preserve"> The homeownership rate for Black households in Austin is about 30%, compared with about 70% for white households — a 40-point gap. Hispanic families face roughly 2.3 times the housing cost burden of white families.</w:t>
      </w:r>
    </w:p>
    <w:p>
      <w:pPr>
        <w:pStyle w:val="ListParagraph"/>
        <w:numPr>
          <w:ilvl w:val="0"/>
          <w:numId w:val="1"/>
        </w:numPr>
        <w:spacing w:after="40" w:before="40"/>
      </w:pPr>
      <w:r>
        <w:rPr>
          <w:b/>
          <w:bCs/>
        </w:rPr>
        <w:t xml:space="preserve">Working families:</w:t>
      </w:r>
      <w:r>
        <w:t xml:space="preserve"> A family needs roughly $95,000 a year to afford the median Austin home. The actual median household income is $80,954.</w:t>
      </w:r>
    </w:p>
    <w:p>
      <w:pPr>
        <w:pStyle w:val="ListParagraph"/>
        <w:numPr>
          <w:ilvl w:val="0"/>
          <w:numId w:val="1"/>
        </w:numPr>
        <w:spacing w:after="40" w:before="40"/>
      </w:pPr>
      <w:r>
        <w:rPr>
          <w:b/>
          <w:bCs/>
        </w:rPr>
        <w:t xml:space="preserve">Youth aging out of foster care:</w:t>
      </w:r>
      <w:r>
        <w:t xml:space="preserve"> More than 250 young people age out of the foster care system in Travis County each year, most without a housing plan.</w:t>
      </w:r>
    </w:p>
    <w:p>
      <w:pPr>
        <w:pStyle w:val="ListParagraph"/>
        <w:numPr>
          <w:ilvl w:val="0"/>
          <w:numId w:val="1"/>
        </w:numPr>
        <w:spacing w:after="40" w:before="40"/>
      </w:pPr>
      <w:r>
        <w:rPr>
          <w:b/>
          <w:bCs/>
        </w:rPr>
        <w:t xml:space="preserve">People living with disabilities:</w:t>
      </w:r>
      <w:r>
        <w:t xml:space="preserve"> About 14% of Austin's residents live with a disability. Accessible, affordable units are nearly nonexistent.</w:t>
      </w:r>
    </w:p>
    <w:p>
      <w:pPr>
        <w:spacing w:after="80"/>
      </w:pPr>
      <w:r>
        <w:t xml:space="preserve"/>
      </w:r>
    </w:p>
    <w:p>
      <w:pPr>
        <w:pBdr>
          <w:bottom w:val="single" w:color="CCCCCC" w:sz="6" w:space="1"/>
        </w:pBdr>
        <w:spacing w:after="120" w:before="120"/>
      </w:pPr>
      <w:r>
        <w:t xml:space="preserve"/>
      </w:r>
    </w:p>
    <w:p>
      <w:pPr>
        <w:spacing w:after="80"/>
      </w:pPr>
      <w:r>
        <w:t xml:space="preserve"/>
      </w:r>
    </w:p>
    <w:p>
      <w:pPr>
        <w:pStyle w:val="Heading2"/>
        <w:spacing w:after="100" w:before="280"/>
      </w:pPr>
      <w:r>
        <w:rPr>
          <w:b/>
          <w:bCs/>
          <w:color w:val="1F3A5F"/>
          <w:sz w:val="28"/>
          <w:szCs w:val="28"/>
        </w:rPr>
        <w:t xml:space="preserve">PART 2: PFLUGERVILLE — GROWTH WITHOUT THE COMMUNITY SUPPORTS</w:t>
      </w:r>
    </w:p>
    <w:p>
      <w:pPr>
        <w:spacing w:after="80"/>
      </w:pPr>
      <w:r>
        <w:t xml:space="preserve"/>
      </w:r>
    </w:p>
    <w:p>
      <w:pPr>
        <w:pStyle w:val="Heading3"/>
        <w:spacing w:after="80" w:before="200"/>
      </w:pPr>
      <w:r>
        <w:rPr>
          <w:b/>
          <w:bCs/>
          <w:color w:val="1F3A5F"/>
          <w:sz w:val="24"/>
          <w:szCs w:val="24"/>
        </w:rPr>
        <w:t xml:space="preserve">Housing development pipeline</w:t>
      </w:r>
    </w:p>
    <w:tbl>
      <w:tblPr>
        <w:tblW w:type="dxa" w:w="90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gridCol w:w="100"/>
      </w:tblGrid>
      <w:tr>
        <w:trPr>
          <w:tblHeader/>
        </w:trPr>
        <w:tc>
          <w:tcPr>
            <w:tcW w:type="dxa" w:w="225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Project</w:t>
            </w:r>
          </w:p>
        </w:tc>
        <w:tc>
          <w:tcPr>
            <w:tcW w:type="dxa" w:w="225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Units</w:t>
            </w:r>
          </w:p>
        </w:tc>
        <w:tc>
          <w:tcPr>
            <w:tcW w:type="dxa" w:w="225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Type</w:t>
            </w:r>
          </w:p>
        </w:tc>
        <w:tc>
          <w:tcPr>
            <w:tcW w:type="dxa" w:w="225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Status</w:t>
            </w:r>
          </w:p>
        </w:tc>
      </w:tr>
      <w:tr>
        <w:tc>
          <w:tcPr>
            <w:tcW w:type="dxa" w:w="225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225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225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225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225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225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225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225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225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225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225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225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225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225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225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225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225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225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225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2250"/>
            <w:tcBorders>
              <w:top w:val="single" w:color="CCCCCC" w:sz="4"/>
              <w:left w:val="single" w:color="CCCCCC" w:sz="4"/>
              <w:bottom w:val="single" w:color="CCCCCC" w:sz="4"/>
              <w:right w:val="single" w:color="CCCCCC" w:sz="4"/>
            </w:tcBorders>
          </w:tcPr>
          <w:p>
            <w:pPr>
              <w:spacing w:after="40" w:before="40"/>
            </w:pPr>
            <w:r>
              <w:rPr>
                <w:sz w:val="18"/>
                <w:szCs w:val="18"/>
              </w:rPr>
            </w:r>
          </w:p>
        </w:tc>
      </w:tr>
    </w:tbl>
    <w:p>
      <w:pPr>
        <w:spacing w:after="120"/>
      </w:pPr>
      <w:r>
        <w:t xml:space="preserve"/>
      </w:r>
    </w:p>
    <w:p>
      <w:pPr>
        <w:spacing w:after="80"/>
      </w:pPr>
      <w:r>
        <w:t xml:space="preserve"/>
      </w:r>
    </w:p>
    <w:p>
      <w:pPr>
        <w:pStyle w:val="Heading3"/>
        <w:spacing w:after="80" w:before="200"/>
      </w:pPr>
      <w:r>
        <w:rPr>
          <w:b/>
          <w:bCs/>
          <w:color w:val="1F3A5F"/>
          <w:sz w:val="24"/>
          <w:szCs w:val="24"/>
        </w:rPr>
        <w:t xml:space="preserve">Infrastructure investment</w:t>
      </w:r>
    </w:p>
    <w:p>
      <w:pPr>
        <w:pStyle w:val="ListParagraph"/>
        <w:numPr>
          <w:ilvl w:val="0"/>
          <w:numId w:val="1"/>
        </w:numPr>
        <w:spacing w:after="40" w:before="40"/>
      </w:pPr>
      <w:r>
        <w:t xml:space="preserve">More than $80 million in water and wastewater projects (2025–2026): a $53 million Colorado River raw-water line, a $27 million water-treatment-plant expansion, and $17 million in sewer-line work.</w:t>
      </w:r>
    </w:p>
    <w:p>
      <w:pPr>
        <w:pStyle w:val="ListParagraph"/>
        <w:numPr>
          <w:ilvl w:val="0"/>
          <w:numId w:val="1"/>
        </w:numPr>
        <w:spacing w:after="40" w:before="40"/>
      </w:pPr>
      <w:r>
        <w:rPr>
          <w:b/>
          <w:bCs/>
        </w:rPr>
        <w:t xml:space="preserve">The gap:</w:t>
      </w:r>
      <w:r>
        <w:t xml:space="preserve"> Pflugerville is making major investments in physical infrastructure (pipes, roads, buildings), but virtually no investment in the community-support side — no workforce training tied to the new affordable units, no veteran services, no integrated health-and-housing supports, and no wraparound services for the families who will move into the 330 affordable apartments coming online.</w:t>
      </w:r>
    </w:p>
    <w:p>
      <w:pPr>
        <w:spacing w:after="80"/>
      </w:pPr>
      <w:r>
        <w:t xml:space="preserve"/>
      </w:r>
    </w:p>
    <w:p>
      <w:pPr>
        <w:pStyle w:val="Heading3"/>
        <w:spacing w:after="80" w:before="200"/>
      </w:pPr>
      <w:r>
        <w:rPr>
          <w:b/>
          <w:bCs/>
          <w:color w:val="1F3A5F"/>
          <w:sz w:val="24"/>
          <w:szCs w:val="24"/>
        </w:rPr>
        <w:t xml:space="preserve">The opportunity</w:t>
      </w:r>
    </w:p>
    <w:p>
      <w:pPr>
        <w:spacing w:after="60" w:before="60"/>
      </w:pPr>
      <w:r>
        <w:t xml:space="preserve">Pflugerville is building housing without building the community supports that make housing succeed. ThriveUp Academy fills that gap by bringing the human-services side of infrastructure: workforce pathways, health navigation, veteran support, and family stability services.</w:t>
      </w:r>
    </w:p>
    <w:p>
      <w:pPr>
        <w:spacing w:after="80"/>
      </w:pPr>
      <w:r>
        <w:t xml:space="preserve"/>
      </w:r>
    </w:p>
    <w:p>
      <w:pPr>
        <w:pBdr>
          <w:bottom w:val="single" w:color="CCCCCC" w:sz="6" w:space="1"/>
        </w:pBdr>
        <w:spacing w:after="120" w:before="120"/>
      </w:pPr>
      <w:r>
        <w:t xml:space="preserve"/>
      </w:r>
    </w:p>
    <w:p>
      <w:pPr>
        <w:spacing w:after="80"/>
      </w:pPr>
      <w:r>
        <w:t xml:space="preserve"/>
      </w:r>
    </w:p>
    <w:p>
      <w:pPr>
        <w:pStyle w:val="Heading2"/>
        <w:spacing w:after="100" w:before="280"/>
      </w:pPr>
      <w:r>
        <w:rPr>
          <w:b/>
          <w:bCs/>
          <w:color w:val="1F3A5F"/>
          <w:sz w:val="28"/>
          <w:szCs w:val="28"/>
        </w:rPr>
        <w:t xml:space="preserve">PART 3: THE INTERSTATE 35 CORRIDOR — THE ECONOMIC ENGINE</w:t>
      </w:r>
    </w:p>
    <w:p>
      <w:pPr>
        <w:spacing w:after="80"/>
      </w:pPr>
      <w:r>
        <w:t xml:space="preserve"/>
      </w:r>
    </w:p>
    <w:p>
      <w:pPr>
        <w:spacing w:after="60" w:before="60"/>
      </w:pPr>
      <w:r>
        <w:t xml:space="preserve">The Interstate 35 expansion from Dallas through Austin to San Antonio is the largest highway construction program in Texas history.</w:t>
      </w:r>
    </w:p>
    <w:p>
      <w:pPr>
        <w:spacing w:after="80"/>
      </w:pPr>
      <w:r>
        <w:t xml:space="preserve"/>
      </w:r>
    </w:p>
    <w:tbl>
      <w:tblPr>
        <w:tblW w:type="dxa" w:w="90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gridCol w:w="100"/>
      </w:tblGrid>
      <w:tr>
        <w:trPr>
          <w:tblHeader/>
        </w:trPr>
        <w:tc>
          <w:tcPr>
            <w:tcW w:type="dxa" w:w="225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Segment</w:t>
            </w:r>
          </w:p>
        </w:tc>
        <w:tc>
          <w:tcPr>
            <w:tcW w:type="dxa" w:w="225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Investment</w:t>
            </w:r>
          </w:p>
        </w:tc>
        <w:tc>
          <w:tcPr>
            <w:tcW w:type="dxa" w:w="225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Timeline</w:t>
            </w:r>
          </w:p>
        </w:tc>
        <w:tc>
          <w:tcPr>
            <w:tcW w:type="dxa" w:w="225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Status</w:t>
            </w:r>
          </w:p>
        </w:tc>
      </w:tr>
      <w:tr>
        <w:tc>
          <w:tcPr>
            <w:tcW w:type="dxa" w:w="225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225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225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225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225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225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225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225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225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225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225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225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225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225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225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225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225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225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225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225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225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225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225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2250"/>
            <w:tcBorders>
              <w:top w:val="single" w:color="CCCCCC" w:sz="4"/>
              <w:left w:val="single" w:color="CCCCCC" w:sz="4"/>
              <w:bottom w:val="single" w:color="CCCCCC" w:sz="4"/>
              <w:right w:val="single" w:color="CCCCCC" w:sz="4"/>
            </w:tcBorders>
          </w:tcPr>
          <w:p>
            <w:pPr>
              <w:spacing w:after="40" w:before="40"/>
            </w:pPr>
            <w:r>
              <w:rPr>
                <w:sz w:val="18"/>
                <w:szCs w:val="18"/>
              </w:rPr>
            </w:r>
          </w:p>
        </w:tc>
      </w:tr>
    </w:tbl>
    <w:p>
      <w:pPr>
        <w:spacing w:after="120"/>
      </w:pPr>
      <w:r>
        <w:t xml:space="preserve"/>
      </w:r>
    </w:p>
    <w:p>
      <w:pPr>
        <w:spacing w:after="80"/>
      </w:pPr>
      <w:r>
        <w:t xml:space="preserve"/>
      </w:r>
    </w:p>
    <w:p>
      <w:pPr>
        <w:pStyle w:val="Heading3"/>
        <w:spacing w:after="80" w:before="200"/>
      </w:pPr>
      <w:r>
        <w:rPr>
          <w:b/>
          <w:bCs/>
          <w:color w:val="1F3A5F"/>
          <w:sz w:val="24"/>
          <w:szCs w:val="24"/>
        </w:rPr>
        <w:t xml:space="preserve">What this means for workers and small businesses</w:t>
      </w:r>
    </w:p>
    <w:p>
      <w:pPr>
        <w:pStyle w:val="ListParagraph"/>
        <w:numPr>
          <w:ilvl w:val="0"/>
          <w:numId w:val="1"/>
        </w:numPr>
        <w:spacing w:after="40" w:before="40"/>
      </w:pPr>
      <w:r>
        <w:t xml:space="preserve">Tens of thousands of construction jobs along the corridor.</w:t>
      </w:r>
    </w:p>
    <w:p>
      <w:pPr>
        <w:pStyle w:val="ListParagraph"/>
        <w:numPr>
          <w:ilvl w:val="0"/>
          <w:numId w:val="1"/>
        </w:numPr>
        <w:spacing w:after="40" w:before="40"/>
      </w:pPr>
      <w:r>
        <w:t xml:space="preserve">Families displaced by construction need relocation help.</w:t>
      </w:r>
    </w:p>
    <w:p>
      <w:pPr>
        <w:pStyle w:val="ListParagraph"/>
        <w:numPr>
          <w:ilvl w:val="0"/>
          <w:numId w:val="1"/>
        </w:numPr>
        <w:spacing w:after="40" w:before="40"/>
      </w:pPr>
      <w:r>
        <w:t xml:space="preserve">Construction workers need housing near worksites.</w:t>
      </w:r>
    </w:p>
    <w:p>
      <w:pPr>
        <w:pStyle w:val="ListParagraph"/>
        <w:numPr>
          <w:ilvl w:val="0"/>
          <w:numId w:val="1"/>
        </w:numPr>
        <w:spacing w:after="40" w:before="40"/>
      </w:pPr>
      <w:r>
        <w:t xml:space="preserve">Small and minority-owned businesses are eligible for subcontracts through the federal Disadvantaged Business Enterprise (DBE) program (currently paused — see the Opportunity Pipeline brief for details).</w:t>
      </w:r>
    </w:p>
    <w:p>
      <w:pPr>
        <w:pStyle w:val="ListParagraph"/>
        <w:numPr>
          <w:ilvl w:val="0"/>
          <w:numId w:val="1"/>
        </w:numPr>
        <w:spacing w:after="40" w:before="40"/>
      </w:pPr>
      <w:r>
        <w:t xml:space="preserve">ThriveUp's Veteran-Owned Small Business (VOSB) certification (held through The Collaborative Advocate platform) makes it eligible for federal set-aside contracts.</w:t>
      </w:r>
    </w:p>
    <w:p>
      <w:pPr>
        <w:spacing w:after="80"/>
      </w:pPr>
      <w:r>
        <w:t xml:space="preserve"/>
      </w:r>
    </w:p>
    <w:p>
      <w:pPr>
        <w:pBdr>
          <w:bottom w:val="single" w:color="CCCCCC" w:sz="6" w:space="1"/>
        </w:pBdr>
        <w:spacing w:after="120" w:before="120"/>
      </w:pPr>
      <w:r>
        <w:t xml:space="preserve"/>
      </w:r>
    </w:p>
    <w:p>
      <w:pPr>
        <w:spacing w:after="80"/>
      </w:pPr>
      <w:r>
        <w:t xml:space="preserve"/>
      </w:r>
    </w:p>
    <w:p>
      <w:pPr>
        <w:pStyle w:val="Heading2"/>
        <w:spacing w:after="100" w:before="280"/>
      </w:pPr>
      <w:r>
        <w:rPr>
          <w:b/>
          <w:bCs/>
          <w:color w:val="1F3A5F"/>
          <w:sz w:val="28"/>
          <w:szCs w:val="28"/>
        </w:rPr>
        <w:t xml:space="preserve">PART 4: CONTRACTING AND PROCUREMENT OPPORTUNITIES</w:t>
      </w:r>
    </w:p>
    <w:p>
      <w:pPr>
        <w:spacing w:after="80"/>
      </w:pPr>
      <w:r>
        <w:t xml:space="preserve"/>
      </w:r>
    </w:p>
    <w:p>
      <w:pPr>
        <w:pStyle w:val="Heading3"/>
        <w:spacing w:after="80" w:before="200"/>
      </w:pPr>
      <w:r>
        <w:rPr>
          <w:b/>
          <w:bCs/>
          <w:color w:val="1F3A5F"/>
          <w:sz w:val="24"/>
          <w:szCs w:val="24"/>
        </w:rPr>
        <w:t xml:space="preserve">City of Austin</w:t>
      </w:r>
    </w:p>
    <w:tbl>
      <w:tblPr>
        <w:tblW w:type="dxa" w:w="90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tcW w:type="dxa" w:w="30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Opportunity</w:t>
            </w:r>
          </w:p>
        </w:tc>
        <w:tc>
          <w:tcPr>
            <w:tcW w:type="dxa" w:w="30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Where to find it</w:t>
            </w:r>
          </w:p>
        </w:tc>
        <w:tc>
          <w:tcPr>
            <w:tcW w:type="dxa" w:w="30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Notes</w:t>
            </w:r>
          </w:p>
        </w:tc>
      </w:tr>
      <w:tr>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r>
    </w:tbl>
    <w:p>
      <w:pPr>
        <w:spacing w:after="120"/>
      </w:pPr>
      <w:r>
        <w:t xml:space="preserve"/>
      </w:r>
    </w:p>
    <w:p>
      <w:pPr>
        <w:spacing w:after="80"/>
      </w:pPr>
      <w:r>
        <w:t xml:space="preserve"/>
      </w:r>
    </w:p>
    <w:p>
      <w:pPr>
        <w:pStyle w:val="Heading3"/>
        <w:spacing w:after="80" w:before="200"/>
      </w:pPr>
      <w:r>
        <w:rPr>
          <w:b/>
          <w:bCs/>
          <w:color w:val="1F3A5F"/>
          <w:sz w:val="24"/>
          <w:szCs w:val="24"/>
        </w:rPr>
        <w:t xml:space="preserve">City of Pflugerville</w:t>
      </w:r>
    </w:p>
    <w:tbl>
      <w:tblPr>
        <w:tblW w:type="dxa" w:w="90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tcW w:type="dxa" w:w="30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Opportunity</w:t>
            </w:r>
          </w:p>
        </w:tc>
        <w:tc>
          <w:tcPr>
            <w:tcW w:type="dxa" w:w="30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Where to find it</w:t>
            </w:r>
          </w:p>
        </w:tc>
        <w:tc>
          <w:tcPr>
            <w:tcW w:type="dxa" w:w="30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Notes</w:t>
            </w:r>
          </w:p>
        </w:tc>
      </w:tr>
      <w:tr>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r>
    </w:tbl>
    <w:p>
      <w:pPr>
        <w:spacing w:after="120"/>
      </w:pPr>
      <w:r>
        <w:t xml:space="preserve"/>
      </w:r>
    </w:p>
    <w:p>
      <w:pPr>
        <w:spacing w:after="80"/>
      </w:pPr>
      <w:r>
        <w:t xml:space="preserve"/>
      </w:r>
    </w:p>
    <w:p>
      <w:pPr>
        <w:pStyle w:val="Heading3"/>
        <w:spacing w:after="80" w:before="200"/>
      </w:pPr>
      <w:r>
        <w:rPr>
          <w:b/>
          <w:bCs/>
          <w:color w:val="1F3A5F"/>
          <w:sz w:val="24"/>
          <w:szCs w:val="24"/>
        </w:rPr>
        <w:t xml:space="preserve">State and federal</w:t>
      </w:r>
    </w:p>
    <w:tbl>
      <w:tblPr>
        <w:tblW w:type="dxa" w:w="90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tcW w:type="dxa" w:w="30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Opportunity</w:t>
            </w:r>
          </w:p>
        </w:tc>
        <w:tc>
          <w:tcPr>
            <w:tcW w:type="dxa" w:w="30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Where to find it</w:t>
            </w:r>
          </w:p>
        </w:tc>
        <w:tc>
          <w:tcPr>
            <w:tcW w:type="dxa" w:w="30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Notes</w:t>
            </w:r>
          </w:p>
        </w:tc>
      </w:tr>
      <w:tr>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r>
    </w:tbl>
    <w:p>
      <w:pPr>
        <w:spacing w:after="120"/>
      </w:pPr>
      <w:r>
        <w:t xml:space="preserve"/>
      </w:r>
    </w:p>
    <w:p>
      <w:pPr>
        <w:spacing w:after="80"/>
      </w:pPr>
      <w:r>
        <w:t xml:space="preserve"/>
      </w:r>
    </w:p>
    <w:p>
      <w:pPr>
        <w:pBdr>
          <w:bottom w:val="single" w:color="CCCCCC" w:sz="6" w:space="1"/>
        </w:pBdr>
        <w:spacing w:after="120" w:before="120"/>
      </w:pPr>
      <w:r>
        <w:t xml:space="preserve"/>
      </w:r>
    </w:p>
    <w:p>
      <w:pPr>
        <w:spacing w:after="80"/>
      </w:pPr>
      <w:r>
        <w:t xml:space="preserve"/>
      </w:r>
    </w:p>
    <w:p>
      <w:pPr>
        <w:pStyle w:val="Heading2"/>
        <w:spacing w:after="100" w:before="280"/>
      </w:pPr>
      <w:r>
        <w:rPr>
          <w:b/>
          <w:bCs/>
          <w:color w:val="1F3A5F"/>
          <w:sz w:val="28"/>
          <w:szCs w:val="28"/>
        </w:rPr>
        <w:t xml:space="preserve">PART 5: GRANT ALIGNMENT — 5 ACTIVE OPPORTUNITIES</w:t>
      </w:r>
    </w:p>
    <w:p>
      <w:pPr>
        <w:spacing w:after="80"/>
      </w:pPr>
      <w:r>
        <w:t xml:space="preserve"/>
      </w:r>
    </w:p>
    <w:p>
      <w:pPr>
        <w:pStyle w:val="Heading3"/>
        <w:spacing w:after="80" w:before="200"/>
      </w:pPr>
      <w:r>
        <w:rPr>
          <w:b/>
          <w:bCs/>
          <w:color w:val="1F3A5F"/>
          <w:sz w:val="24"/>
          <w:szCs w:val="24"/>
        </w:rPr>
        <w:t xml:space="preserve">1. Draper Family Charitable Foundation — $625,000</w:t>
      </w:r>
    </w:p>
    <w:p>
      <w:pPr>
        <w:spacing w:after="60" w:before="60"/>
      </w:pPr>
      <w:r>
        <w:rPr>
          <w:b/>
          <w:bCs/>
        </w:rPr>
        <w:t xml:space="preserve">Deadline: April 14, 2026</w:t>
      </w:r>
    </w:p>
    <w:p>
      <w:pPr>
        <w:pStyle w:val="ListParagraph"/>
        <w:numPr>
          <w:ilvl w:val="0"/>
          <w:numId w:val="1"/>
        </w:numPr>
        <w:spacing w:after="40" w:before="40"/>
      </w:pPr>
      <w:r>
        <w:rPr>
          <w:b/>
          <w:bCs/>
        </w:rPr>
        <w:t xml:space="preserve">What lines up:</w:t>
      </w:r>
      <w:r>
        <w:t xml:space="preserve"> Housing stability and workforce development for underserved residents.</w:t>
      </w:r>
    </w:p>
    <w:p>
      <w:pPr>
        <w:pStyle w:val="ListParagraph"/>
        <w:numPr>
          <w:ilvl w:val="0"/>
          <w:numId w:val="1"/>
        </w:numPr>
        <w:spacing w:after="40" w:before="40"/>
      </w:pPr>
      <w:r>
        <w:rPr>
          <w:b/>
          <w:bCs/>
        </w:rPr>
        <w:t xml:space="preserve">What ThriveUp brings:</w:t>
      </w:r>
      <w:r>
        <w:t xml:space="preserve"> A connected ecosystem — LifeBridge (housing transitions), Mission Transition (veterans), the Minority Center of Excellence (minority business development), and workforce training across all platforms.</w:t>
      </w:r>
    </w:p>
    <w:p>
      <w:pPr>
        <w:pStyle w:val="ListParagraph"/>
        <w:numPr>
          <w:ilvl w:val="0"/>
          <w:numId w:val="1"/>
        </w:numPr>
        <w:spacing w:after="40" w:before="40"/>
      </w:pPr>
      <w:r>
        <w:rPr>
          <w:b/>
          <w:bCs/>
        </w:rPr>
        <w:t xml:space="preserve">Housing message:</w:t>
      </w:r>
      <w:r>
        <w:t xml:space="preserve"> "We don't just find housing — we build housing-ready people through workforce development, financial literacy, health stability, and community connection."</w:t>
      </w:r>
    </w:p>
    <w:p>
      <w:pPr>
        <w:spacing w:after="80"/>
      </w:pPr>
      <w:r>
        <w:t xml:space="preserve"/>
      </w:r>
    </w:p>
    <w:p>
      <w:pPr>
        <w:pStyle w:val="Heading3"/>
        <w:spacing w:after="80" w:before="200"/>
      </w:pPr>
      <w:r>
        <w:rPr>
          <w:b/>
          <w:bCs/>
          <w:color w:val="1F3A5F"/>
          <w:sz w:val="24"/>
          <w:szCs w:val="24"/>
        </w:rPr>
        <w:t xml:space="preserve">2. Workforce Innovation and Opportunity Act (WIOA) — $200,000–$500,000</w:t>
      </w:r>
    </w:p>
    <w:p>
      <w:pPr>
        <w:spacing w:after="60" w:before="60"/>
      </w:pPr>
      <w:r>
        <w:rPr>
          <w:b/>
          <w:bCs/>
        </w:rPr>
        <w:t xml:space="preserve">Rolling deadline</w:t>
      </w:r>
    </w:p>
    <w:p>
      <w:pPr>
        <w:pStyle w:val="ListParagraph"/>
        <w:numPr>
          <w:ilvl w:val="0"/>
          <w:numId w:val="1"/>
        </w:numPr>
        <w:spacing w:after="40" w:before="40"/>
      </w:pPr>
      <w:r>
        <w:rPr>
          <w:b/>
          <w:bCs/>
        </w:rPr>
        <w:t xml:space="preserve">What lines up:</w:t>
      </w:r>
      <w:r>
        <w:t xml:space="preserve"> Workforce development for displaced workers, veterans, young people, and underemployed adults.</w:t>
      </w:r>
    </w:p>
    <w:p>
      <w:pPr>
        <w:pStyle w:val="ListParagraph"/>
        <w:numPr>
          <w:ilvl w:val="0"/>
          <w:numId w:val="1"/>
        </w:numPr>
        <w:spacing w:after="40" w:before="40"/>
      </w:pPr>
      <w:r>
        <w:rPr>
          <w:b/>
          <w:bCs/>
        </w:rPr>
        <w:t xml:space="preserve">The housing connection:</w:t>
      </w:r>
      <w:r>
        <w:t xml:space="preserve"> Workforce development </w:t>
      </w:r>
      <w:r>
        <w:rPr>
          <w:i/>
          <w:iCs/>
        </w:rPr>
        <w:t xml:space="preserve">is</w:t>
      </w:r>
      <w:r>
        <w:t xml:space="preserve"> housing stability. Employed people keep their housing. The platforms create career paths that lead to incomes families can live on.</w:t>
      </w:r>
    </w:p>
    <w:p>
      <w:pPr>
        <w:pStyle w:val="ListParagraph"/>
        <w:numPr>
          <w:ilvl w:val="0"/>
          <w:numId w:val="1"/>
        </w:numPr>
        <w:spacing w:after="40" w:before="40"/>
      </w:pPr>
      <w:r>
        <w:rPr>
          <w:b/>
          <w:bCs/>
        </w:rPr>
        <w:t xml:space="preserve">The Interstate 35 angle:</w:t>
      </w:r>
      <w:r>
        <w:t xml:space="preserve"> Construction workforce training for the largest infrastructure project in Texas history.</w:t>
      </w:r>
    </w:p>
    <w:p>
      <w:pPr>
        <w:spacing w:after="80"/>
      </w:pPr>
      <w:r>
        <w:t xml:space="preserve"/>
      </w:r>
    </w:p>
    <w:p>
      <w:pPr>
        <w:pStyle w:val="Heading3"/>
        <w:spacing w:after="80" w:before="200"/>
      </w:pPr>
      <w:r>
        <w:rPr>
          <w:b/>
          <w:bCs/>
          <w:color w:val="1F3A5F"/>
          <w:sz w:val="24"/>
          <w:szCs w:val="24"/>
        </w:rPr>
        <w:t xml:space="preserve">3. NBA Foundation — $100,000–$500,000</w:t>
      </w:r>
    </w:p>
    <w:p>
      <w:pPr>
        <w:spacing w:after="60" w:before="60"/>
      </w:pPr>
      <w:r>
        <w:rPr>
          <w:b/>
          <w:bCs/>
        </w:rPr>
        <w:t xml:space="preserve">Rolling letter of intent</w:t>
      </w:r>
    </w:p>
    <w:p>
      <w:pPr>
        <w:pStyle w:val="ListParagraph"/>
        <w:numPr>
          <w:ilvl w:val="0"/>
          <w:numId w:val="1"/>
        </w:numPr>
        <w:spacing w:after="40" w:before="40"/>
      </w:pPr>
      <w:r>
        <w:rPr>
          <w:b/>
          <w:bCs/>
        </w:rPr>
        <w:t xml:space="preserve">What lines up:</w:t>
      </w:r>
      <w:r>
        <w:t xml:space="preserve"> Economic empowerment for Black communities.</w:t>
      </w:r>
    </w:p>
    <w:p>
      <w:pPr>
        <w:pStyle w:val="ListParagraph"/>
        <w:numPr>
          <w:ilvl w:val="0"/>
          <w:numId w:val="1"/>
        </w:numPr>
        <w:spacing w:after="40" w:before="40"/>
      </w:pPr>
      <w:r>
        <w:rPr>
          <w:b/>
          <w:bCs/>
        </w:rPr>
        <w:t xml:space="preserve">The housing data:</w:t>
      </w:r>
      <w:r>
        <w:t xml:space="preserve"> Black homeownership in Austin is roughly 30% versus 70% for white households. The gap is economic at its root, and the platforms address that root through workforce development, entrepreneurship support (the Minority Center of Excellence), and health equity (the Sankofa health network).</w:t>
      </w:r>
    </w:p>
    <w:p>
      <w:pPr>
        <w:spacing w:after="80"/>
      </w:pPr>
      <w:r>
        <w:t xml:space="preserve"/>
      </w:r>
    </w:p>
    <w:p>
      <w:pPr>
        <w:pStyle w:val="Heading3"/>
        <w:spacing w:after="80" w:before="200"/>
      </w:pPr>
      <w:r>
        <w:rPr>
          <w:b/>
          <w:bCs/>
          <w:color w:val="1F3A5F"/>
          <w:sz w:val="24"/>
          <w:szCs w:val="24"/>
        </w:rPr>
        <w:t xml:space="preserve">4. St. David's Foundation — up to $1,000,000</w:t>
      </w:r>
    </w:p>
    <w:p>
      <w:pPr>
        <w:spacing w:after="60" w:before="60"/>
      </w:pPr>
      <w:r>
        <w:rPr>
          <w:b/>
          <w:bCs/>
        </w:rPr>
        <w:t xml:space="preserve">Application opens March 30, 2026</w:t>
      </w:r>
    </w:p>
    <w:p>
      <w:pPr>
        <w:pStyle w:val="ListParagraph"/>
        <w:numPr>
          <w:ilvl w:val="0"/>
          <w:numId w:val="1"/>
        </w:numPr>
        <w:spacing w:after="40" w:before="40"/>
      </w:pPr>
      <w:r>
        <w:rPr>
          <w:b/>
          <w:bCs/>
        </w:rPr>
        <w:t xml:space="preserve">What lines up:</w:t>
      </w:r>
      <w:r>
        <w:t xml:space="preserve"> Health equity in Central Texas (Travis, Williamson, Hays, Bastrop, and Caldwell counties — which includes Pflugerville).</w:t>
      </w:r>
    </w:p>
    <w:p>
      <w:pPr>
        <w:pStyle w:val="ListParagraph"/>
        <w:numPr>
          <w:ilvl w:val="0"/>
          <w:numId w:val="1"/>
        </w:numPr>
        <w:spacing w:after="40" w:before="40"/>
      </w:pPr>
      <w:r>
        <w:rPr>
          <w:b/>
          <w:bCs/>
        </w:rPr>
        <w:t xml:space="preserve">The housing-and-health connection:</w:t>
      </w:r>
      <w:r>
        <w:t xml:space="preserve"> Housing instability is the single largest social factor that determines a person's health. ThriveUp addresses this through integrated health platforms (Whole-Person Health, SafeCogniCare, PillScheduler), housing stability (LifeBridge), and workforce pathways.</w:t>
      </w:r>
    </w:p>
    <w:p>
      <w:pPr>
        <w:pStyle w:val="ListParagraph"/>
        <w:numPr>
          <w:ilvl w:val="0"/>
          <w:numId w:val="1"/>
        </w:numPr>
        <w:spacing w:after="40" w:before="40"/>
      </w:pPr>
      <w:r>
        <w:rPr>
          <w:b/>
          <w:bCs/>
        </w:rPr>
        <w:t xml:space="preserve">Workforce fit:</w:t>
      </w:r>
      <w:r>
        <w:t xml:space="preserve"> St. David's "Pathways to Economic Stability for Healthcare Workforce" program (a $10.1 million pool) lines up directly with health-workforce training.</w:t>
      </w:r>
    </w:p>
    <w:p>
      <w:pPr>
        <w:spacing w:after="80"/>
      </w:pPr>
      <w:r>
        <w:t xml:space="preserve"/>
      </w:r>
    </w:p>
    <w:p>
      <w:pPr>
        <w:pStyle w:val="Heading3"/>
        <w:spacing w:after="80" w:before="200"/>
      </w:pPr>
      <w:r>
        <w:rPr>
          <w:b/>
          <w:bCs/>
          <w:color w:val="1F3A5F"/>
          <w:sz w:val="24"/>
          <w:szCs w:val="24"/>
        </w:rPr>
        <w:t xml:space="preserve">5. Staff Sergeant Parker Gordon Fox Suicide Prevention Grant Program (Department of Veterans Affairs) — up to $750,000</w:t>
      </w:r>
    </w:p>
    <w:p>
      <w:pPr>
        <w:spacing w:after="60" w:before="60"/>
      </w:pPr>
      <w:r>
        <w:rPr>
          <w:b/>
          <w:bCs/>
        </w:rPr>
        <w:t xml:space="preserve">Deadline: June 12–18, 2026</w:t>
      </w:r>
    </w:p>
    <w:p>
      <w:pPr>
        <w:pStyle w:val="ListParagraph"/>
        <w:numPr>
          <w:ilvl w:val="0"/>
          <w:numId w:val="1"/>
        </w:numPr>
        <w:spacing w:after="40" w:before="40"/>
      </w:pPr>
      <w:r>
        <w:rPr>
          <w:b/>
          <w:bCs/>
        </w:rPr>
        <w:t xml:space="preserve">What lines up:</w:t>
      </w:r>
      <w:r>
        <w:t xml:space="preserve"> Veteran suicide prevention through community connection.</w:t>
      </w:r>
    </w:p>
    <w:p>
      <w:pPr>
        <w:pStyle w:val="ListParagraph"/>
        <w:numPr>
          <w:ilvl w:val="0"/>
          <w:numId w:val="1"/>
        </w:numPr>
        <w:spacing w:after="40" w:before="40"/>
      </w:pPr>
      <w:r>
        <w:rPr>
          <w:b/>
          <w:bCs/>
        </w:rPr>
        <w:t xml:space="preserve">The housing connection:</w:t>
      </w:r>
      <w:r>
        <w:t xml:space="preserve"> After mental-health diagnosis, housing instability is the strongest predictor of veteran suicide. Mission Transition, Shield Atlas, and SafeReport together create a safety net.</w:t>
      </w:r>
    </w:p>
    <w:p>
      <w:pPr>
        <w:pStyle w:val="ListParagraph"/>
        <w:numPr>
          <w:ilvl w:val="0"/>
          <w:numId w:val="1"/>
        </w:numPr>
        <w:spacing w:after="40" w:before="40"/>
      </w:pPr>
      <w:r>
        <w:rPr>
          <w:b/>
          <w:bCs/>
        </w:rPr>
        <w:t xml:space="preserve">Austin data:</w:t>
      </w:r>
      <w:r>
        <w:t xml:space="preserve"> More than 45,000 veterans in the Austin metro; veteran homelessness up 12%.</w:t>
      </w:r>
    </w:p>
    <w:p>
      <w:pPr>
        <w:spacing w:after="80"/>
      </w:pPr>
      <w:r>
        <w:t xml:space="preserve"/>
      </w:r>
    </w:p>
    <w:p>
      <w:pPr>
        <w:pBdr>
          <w:bottom w:val="single" w:color="CCCCCC" w:sz="6" w:space="1"/>
        </w:pBdr>
        <w:spacing w:after="120" w:before="120"/>
      </w:pPr>
      <w:r>
        <w:t xml:space="preserve"/>
      </w:r>
    </w:p>
    <w:p>
      <w:pPr>
        <w:spacing w:after="80"/>
      </w:pPr>
      <w:r>
        <w:t xml:space="preserve"/>
      </w:r>
    </w:p>
    <w:p>
      <w:pPr>
        <w:pStyle w:val="Heading2"/>
        <w:spacing w:after="100" w:before="280"/>
      </w:pPr>
      <w:r>
        <w:rPr>
          <w:b/>
          <w:bCs/>
          <w:color w:val="1F3A5F"/>
          <w:sz w:val="28"/>
          <w:szCs w:val="28"/>
        </w:rPr>
        <w:t xml:space="preserve">PART 6: WHAT MAKES THRIVEUP DIFFERENT</w:t>
      </w:r>
    </w:p>
    <w:p>
      <w:pPr>
        <w:spacing w:after="80"/>
      </w:pPr>
      <w:r>
        <w:t xml:space="preserve"/>
      </w:r>
    </w:p>
    <w:p>
      <w:pPr>
        <w:pStyle w:val="Heading3"/>
        <w:spacing w:after="80" w:before="200"/>
      </w:pPr>
      <w:r>
        <w:rPr>
          <w:b/>
          <w:bCs/>
          <w:color w:val="1F3A5F"/>
          <w:sz w:val="24"/>
          <w:szCs w:val="24"/>
        </w:rPr>
        <w:t xml:space="preserve">"We bring solutions to anyone by meeting them where they are with our comprehensive solutions and suite of tools. No problem remains a problem."</w:t>
      </w:r>
    </w:p>
    <w:p>
      <w:pPr>
        <w:spacing w:after="80"/>
      </w:pPr>
      <w:r>
        <w:t xml:space="preserve"/>
      </w:r>
    </w:p>
    <w:p>
      <w:pPr>
        <w:pStyle w:val="Heading3"/>
        <w:spacing w:after="80" w:before="200"/>
      </w:pPr>
      <w:r>
        <w:rPr>
          <w:b/>
          <w:bCs/>
          <w:color w:val="1F3A5F"/>
          <w:sz w:val="24"/>
          <w:szCs w:val="24"/>
        </w:rPr>
        <w:t xml:space="preserve">The problem most organizations have</w:t>
      </w:r>
    </w:p>
    <w:p>
      <w:pPr>
        <w:spacing w:after="60" w:before="60"/>
      </w:pPr>
      <w:r>
        <w:t xml:space="preserve">Other organizations offer one thing — a job-training program, </w:t>
      </w:r>
      <w:r>
        <w:rPr>
          <w:i/>
          <w:iCs/>
        </w:rPr>
        <w:t xml:space="preserve">or</w:t>
      </w:r>
      <w:r>
        <w:t xml:space="preserve"> a health clinic, </w:t>
      </w:r>
      <w:r>
        <w:rPr>
          <w:i/>
          <w:iCs/>
        </w:rPr>
        <w:t xml:space="preserve">or</w:t>
      </w:r>
      <w:r>
        <w:t xml:space="preserve"> a housing referral. The person being served falls through the gaps between those services.</w:t>
      </w:r>
    </w:p>
    <w:p>
      <w:pPr>
        <w:spacing w:after="80"/>
      </w:pPr>
      <w:r>
        <w:t xml:space="preserve"/>
      </w:r>
    </w:p>
    <w:p>
      <w:pPr>
        <w:pStyle w:val="Heading3"/>
        <w:spacing w:after="80" w:before="200"/>
      </w:pPr>
      <w:r>
        <w:rPr>
          <w:b/>
          <w:bCs/>
          <w:color w:val="1F3A5F"/>
          <w:sz w:val="24"/>
          <w:szCs w:val="24"/>
        </w:rPr>
        <w:t xml:space="preserve">What ThriveUp delivers</w:t>
      </w:r>
    </w:p>
    <w:p>
      <w:pPr>
        <w:spacing w:after="60" w:before="60"/>
      </w:pPr>
      <w:r>
        <w:t xml:space="preserve">A 19-platform integrated set of community-support tools, powered by artificial intelligence, Dr. Terry Flood's published methodologies, and white-glove service. One front door, comprehensive support:</w:t>
      </w:r>
    </w:p>
    <w:p>
      <w:pPr>
        <w:spacing w:after="80"/>
      </w:pPr>
      <w:r>
        <w:t xml:space="preserve"/>
      </w:r>
    </w:p>
    <w:tbl>
      <w:tblPr>
        <w:tblW w:type="dxa" w:w="90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tcW w:type="dxa" w:w="30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Need</w:t>
            </w:r>
          </w:p>
        </w:tc>
        <w:tc>
          <w:tcPr>
            <w:tcW w:type="dxa" w:w="30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Platform(s)</w:t>
            </w:r>
          </w:p>
        </w:tc>
        <w:tc>
          <w:tcPr>
            <w:tcW w:type="dxa" w:w="30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Outcome</w:t>
            </w:r>
          </w:p>
        </w:tc>
      </w:tr>
      <w:tr>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3000"/>
            <w:tcBorders>
              <w:top w:val="single" w:color="CCCCCC" w:sz="4"/>
              <w:left w:val="single" w:color="CCCCCC" w:sz="4"/>
              <w:bottom w:val="single" w:color="CCCCCC" w:sz="4"/>
              <w:right w:val="single" w:color="CCCCCC" w:sz="4"/>
            </w:tcBorders>
          </w:tcPr>
          <w:p>
            <w:pPr>
              <w:spacing w:after="40" w:before="40"/>
            </w:pPr>
            <w:r>
              <w:rPr>
                <w:sz w:val="18"/>
                <w:szCs w:val="18"/>
              </w:rPr>
            </w:r>
          </w:p>
        </w:tc>
      </w:tr>
    </w:tbl>
    <w:p>
      <w:pPr>
        <w:spacing w:after="120"/>
      </w:pPr>
      <w:r>
        <w:t xml:space="preserve"/>
      </w:r>
    </w:p>
    <w:p>
      <w:pPr>
        <w:spacing w:after="80"/>
      </w:pPr>
      <w:r>
        <w:t xml:space="preserve"/>
      </w:r>
    </w:p>
    <w:p>
      <w:pPr>
        <w:pStyle w:val="Heading3"/>
        <w:spacing w:after="80" w:before="200"/>
      </w:pPr>
      <w:r>
        <w:rPr>
          <w:b/>
          <w:bCs/>
          <w:color w:val="1F3A5F"/>
          <w:sz w:val="24"/>
          <w:szCs w:val="24"/>
        </w:rPr>
        <w:t xml:space="preserve">The white-glove service model</w:t>
      </w:r>
    </w:p>
    <w:p>
      <w:pPr>
        <w:pStyle w:val="ListParagraph"/>
        <w:numPr>
          <w:ilvl w:val="0"/>
          <w:numId w:val="1"/>
        </w:numPr>
        <w:spacing w:after="40" w:before="40"/>
      </w:pPr>
      <w:r>
        <w:t xml:space="preserve">Clients hire Dr. Flood — the platform ecosystem delivers the work.</w:t>
      </w:r>
    </w:p>
    <w:p>
      <w:pPr>
        <w:pStyle w:val="ListParagraph"/>
        <w:numPr>
          <w:ilvl w:val="0"/>
          <w:numId w:val="1"/>
        </w:numPr>
        <w:spacing w:after="40" w:before="40"/>
      </w:pPr>
      <w:r>
        <w:t xml:space="preserve">Premium service: comprehensive needs assessment, custom platform deployment, ongoing support.</w:t>
      </w:r>
    </w:p>
    <w:p>
      <w:pPr>
        <w:pStyle w:val="ListParagraph"/>
        <w:numPr>
          <w:ilvl w:val="0"/>
          <w:numId w:val="1"/>
        </w:numPr>
        <w:spacing w:after="40" w:before="40"/>
      </w:pPr>
      <w:r>
        <w:rPr>
          <w:b/>
          <w:bCs/>
        </w:rPr>
        <w:t xml:space="preserve">Document production package:</w:t>
      </w:r>
      <w:r>
        <w:t xml:space="preserve"> Executive summary, full business proposal, capability statement, pitch deck, budget and cost proposal, past-performance documentation, organizational chart, video presentation, grant narrative, and scope of work.</w:t>
      </w:r>
    </w:p>
    <w:p>
      <w:pPr>
        <w:pStyle w:val="ListParagraph"/>
        <w:numPr>
          <w:ilvl w:val="0"/>
          <w:numId w:val="1"/>
        </w:numPr>
        <w:spacing w:after="40" w:before="40"/>
      </w:pPr>
      <w:r>
        <w:t xml:space="preserve">Available to outside clients (premium pricing) and for internal grant applications.</w:t>
      </w:r>
    </w:p>
    <w:p>
      <w:pPr>
        <w:spacing w:after="80"/>
      </w:pPr>
      <w:r>
        <w:t xml:space="preserve"/>
      </w:r>
    </w:p>
    <w:p>
      <w:pPr>
        <w:pBdr>
          <w:bottom w:val="single" w:color="CCCCCC" w:sz="6" w:space="1"/>
        </w:pBdr>
        <w:spacing w:after="120" w:before="120"/>
      </w:pPr>
      <w:r>
        <w:t xml:space="preserve"/>
      </w:r>
    </w:p>
    <w:p>
      <w:pPr>
        <w:spacing w:after="80"/>
      </w:pPr>
      <w:r>
        <w:t xml:space="preserve"/>
      </w:r>
    </w:p>
    <w:p>
      <w:pPr>
        <w:pStyle w:val="Heading2"/>
        <w:spacing w:after="100" w:before="280"/>
      </w:pPr>
      <w:r>
        <w:rPr>
          <w:b/>
          <w:bCs/>
          <w:color w:val="1F3A5F"/>
          <w:sz w:val="28"/>
          <w:szCs w:val="28"/>
        </w:rPr>
        <w:t xml:space="preserve">PART 7: RECOMMENDED IMMEDIATE ACTIONS</w:t>
      </w:r>
    </w:p>
    <w:p>
      <w:pPr>
        <w:spacing w:after="80"/>
      </w:pPr>
      <w:r>
        <w:t xml:space="preserve"/>
      </w:r>
    </w:p>
    <w:p>
      <w:pPr>
        <w:pStyle w:val="Heading3"/>
        <w:spacing w:after="80" w:before="200"/>
      </w:pPr>
      <w:r>
        <w:rPr>
          <w:b/>
          <w:bCs/>
          <w:color w:val="1F3A5F"/>
          <w:sz w:val="24"/>
          <w:szCs w:val="24"/>
        </w:rPr>
        <w:t xml:space="preserve">This week (March 19–25)</w:t>
      </w:r>
    </w:p>
    <w:p>
      <w:pPr>
        <w:pStyle w:val="ListParagraph"/>
        <w:numPr>
          <w:ilvl w:val="0"/>
          <w:numId w:val="2"/>
        </w:numPr>
        <w:spacing w:after="40" w:before="40"/>
      </w:pPr>
      <w:r>
        <w:t xml:space="preserve">Register on procurement portals: Travis County, City of Austin, Pflugerville, the federal System for Award Management (SAM.gov), and Texas Smart Buy.</w:t>
      </w:r>
    </w:p>
    <w:p>
      <w:pPr>
        <w:pStyle w:val="ListParagraph"/>
        <w:numPr>
          <w:ilvl w:val="0"/>
          <w:numId w:val="2"/>
        </w:numPr>
        <w:spacing w:after="40" w:before="40"/>
      </w:pPr>
      <w:r>
        <w:t xml:space="preserve">Submit the Travis County Community Development Block Grant Program-Year-2026 survey (deadline March 31), expressing interest in housing and workforce services.</w:t>
      </w:r>
    </w:p>
    <w:p>
      <w:pPr>
        <w:pStyle w:val="ListParagraph"/>
        <w:numPr>
          <w:ilvl w:val="0"/>
          <w:numId w:val="2"/>
        </w:numPr>
        <w:spacing w:after="40" w:before="40"/>
      </w:pPr>
      <w:r>
        <w:t xml:space="preserve">Contact St. David's Foundation (512-879-6600) before its March 30 opening — introduce ThriveUp and discuss how housing and health connect.</w:t>
      </w:r>
    </w:p>
    <w:p>
      <w:pPr>
        <w:pStyle w:val="ListParagraph"/>
        <w:numPr>
          <w:ilvl w:val="0"/>
          <w:numId w:val="2"/>
        </w:numPr>
        <w:spacing w:after="40" w:before="40"/>
      </w:pPr>
      <w:r>
        <w:t xml:space="preserve">Complete Veteran-Owned Small Business and Service-Disabled Veteran-Owned Small Business certifications (the Minority Center of Excellence is guiding the work; deadline March 28).</w:t>
      </w:r>
    </w:p>
    <w:p>
      <w:pPr>
        <w:spacing w:after="80"/>
      </w:pPr>
      <w:r>
        <w:t xml:space="preserve"/>
      </w:r>
    </w:p>
    <w:p>
      <w:pPr>
        <w:pStyle w:val="Heading3"/>
        <w:spacing w:after="80" w:before="200"/>
      </w:pPr>
      <w:r>
        <w:rPr>
          <w:b/>
          <w:bCs/>
          <w:color w:val="1F3A5F"/>
          <w:sz w:val="24"/>
          <w:szCs w:val="24"/>
        </w:rPr>
        <w:t xml:space="preserve">Next 30 days</w:t>
      </w:r>
    </w:p>
    <w:p>
      <w:pPr>
        <w:pStyle w:val="ListParagraph"/>
        <w:numPr>
          <w:ilvl w:val="0"/>
          <w:numId w:val="2"/>
        </w:numPr>
        <w:spacing w:after="40" w:before="40"/>
      </w:pPr>
      <w:r>
        <w:t xml:space="preserve">Submit the Draper Family Charitable Foundation grant proposal (deadline April 14) using Austin housing data and the platform ecosystem's capabilities.</w:t>
      </w:r>
    </w:p>
    <w:p>
      <w:pPr>
        <w:pStyle w:val="ListParagraph"/>
        <w:numPr>
          <w:ilvl w:val="0"/>
          <w:numId w:val="2"/>
        </w:numPr>
        <w:spacing w:after="40" w:before="40"/>
      </w:pPr>
      <w:r>
        <w:t xml:space="preserve">Prepare the St. David's Foundation letter of intent when the application opens March 30.</w:t>
      </w:r>
    </w:p>
    <w:p>
      <w:pPr>
        <w:pStyle w:val="ListParagraph"/>
        <w:numPr>
          <w:ilvl w:val="0"/>
          <w:numId w:val="2"/>
        </w:numPr>
        <w:spacing w:after="40" w:before="40"/>
      </w:pPr>
      <w:r>
        <w:t xml:space="preserve">Begin the Workforce Innovation and Opportunity Act application through the local workforce board, Workforce Solutions Capital Area.</w:t>
      </w:r>
    </w:p>
    <w:p>
      <w:pPr>
        <w:pStyle w:val="ListParagraph"/>
        <w:numPr>
          <w:ilvl w:val="0"/>
          <w:numId w:val="2"/>
        </w:numPr>
        <w:spacing w:after="40" w:before="40"/>
      </w:pPr>
      <w:r>
        <w:t xml:space="preserve">Draft the NBA Foundation letter of intent focused on Black economic empowerment in the Austin housing context.</w:t>
      </w:r>
    </w:p>
    <w:p>
      <w:pPr>
        <w:spacing w:after="80"/>
      </w:pPr>
      <w:r>
        <w:t xml:space="preserve"/>
      </w:r>
    </w:p>
    <w:p>
      <w:pPr>
        <w:pStyle w:val="Heading3"/>
        <w:spacing w:after="80" w:before="200"/>
      </w:pPr>
      <w:r>
        <w:rPr>
          <w:b/>
          <w:bCs/>
          <w:color w:val="1F3A5F"/>
          <w:sz w:val="24"/>
          <w:szCs w:val="24"/>
        </w:rPr>
        <w:t xml:space="preserve">60 to 90 days</w:t>
      </w:r>
    </w:p>
    <w:p>
      <w:pPr>
        <w:pStyle w:val="ListParagraph"/>
        <w:numPr>
          <w:ilvl w:val="0"/>
          <w:numId w:val="2"/>
        </w:numPr>
        <w:spacing w:after="40" w:before="40"/>
      </w:pPr>
      <w:r>
        <w:t xml:space="preserve">Prepare the Staff Sergeant Fox suicide-prevention grant proposal (deadline June 12–18), folding in veteran housing-stability data.</w:t>
      </w:r>
    </w:p>
    <w:p>
      <w:pPr>
        <w:pStyle w:val="ListParagraph"/>
        <w:numPr>
          <w:ilvl w:val="0"/>
          <w:numId w:val="2"/>
        </w:numPr>
        <w:spacing w:after="40" w:before="40"/>
      </w:pPr>
      <w:r>
        <w:t xml:space="preserve">Pursue Disadvantaged Business Enterprise subcontracting opportunities for Interstate 35 construction support services (when the federal pause lifts).</w:t>
      </w:r>
    </w:p>
    <w:p>
      <w:pPr>
        <w:pStyle w:val="ListParagraph"/>
        <w:numPr>
          <w:ilvl w:val="0"/>
          <w:numId w:val="2"/>
        </w:numPr>
        <w:spacing w:after="40" w:before="40"/>
      </w:pPr>
      <w:r>
        <w:t xml:space="preserve">Launch a daily opportunity pipeline — automated scanning of more than 15 grants, 15 state opportunities, 15 federal opportunities, and Interstate 35 contracts.</w:t>
      </w:r>
    </w:p>
    <w:p>
      <w:pPr>
        <w:spacing w:after="80"/>
      </w:pPr>
      <w:r>
        <w:t xml:space="preserve"/>
      </w:r>
    </w:p>
    <w:p>
      <w:pPr>
        <w:pBdr>
          <w:bottom w:val="single" w:color="CCCCCC" w:sz="6" w:space="1"/>
        </w:pBdr>
        <w:spacing w:after="120" w:before="120"/>
      </w:pPr>
      <w:r>
        <w:t xml:space="preserve"/>
      </w:r>
    </w:p>
    <w:p>
      <w:pPr>
        <w:spacing w:after="80"/>
      </w:pPr>
      <w:r>
        <w:t xml:space="preserve"/>
      </w:r>
    </w:p>
    <w:p>
      <w:pPr>
        <w:pStyle w:val="Heading2"/>
        <w:spacing w:after="100" w:before="280"/>
      </w:pPr>
      <w:r>
        <w:rPr>
          <w:b/>
          <w:bCs/>
          <w:color w:val="1F3A5F"/>
          <w:sz w:val="28"/>
          <w:szCs w:val="28"/>
        </w:rPr>
        <w:t xml:space="preserve">APPENDIX A: KEY DATA SOURCES</w:t>
      </w:r>
    </w:p>
    <w:p>
      <w:pPr>
        <w:spacing w:after="80"/>
      </w:pPr>
      <w:r>
        <w:t xml:space="preserve"/>
      </w:r>
    </w:p>
    <w:p>
      <w:pPr>
        <w:pStyle w:val="ListParagraph"/>
        <w:numPr>
          <w:ilvl w:val="0"/>
          <w:numId w:val="1"/>
        </w:numPr>
        <w:spacing w:after="40" w:before="40"/>
      </w:pPr>
      <w:r>
        <w:t xml:space="preserve">U.S. Census Bureau American Community Survey (2023)</w:t>
      </w:r>
    </w:p>
    <w:p>
      <w:pPr>
        <w:pStyle w:val="ListParagraph"/>
        <w:numPr>
          <w:ilvl w:val="0"/>
          <w:numId w:val="1"/>
        </w:numPr>
        <w:spacing w:after="40" w:before="40"/>
      </w:pPr>
      <w:r>
        <w:t xml:space="preserve">Austin Board of Realtors market reports (2025–2026)</w:t>
      </w:r>
    </w:p>
    <w:p>
      <w:pPr>
        <w:pStyle w:val="ListParagraph"/>
        <w:numPr>
          <w:ilvl w:val="0"/>
          <w:numId w:val="1"/>
        </w:numPr>
        <w:spacing w:after="40" w:before="40"/>
      </w:pPr>
      <w:r>
        <w:t xml:space="preserve">Ending Community Homelessness Coalition Point-in-Time Count 2024</w:t>
      </w:r>
    </w:p>
    <w:p>
      <w:pPr>
        <w:pStyle w:val="ListParagraph"/>
        <w:numPr>
          <w:ilvl w:val="0"/>
          <w:numId w:val="1"/>
        </w:numPr>
        <w:spacing w:after="40" w:before="40"/>
      </w:pPr>
      <w:r>
        <w:t xml:space="preserve">City of Austin Housing Blueprint (2024)</w:t>
      </w:r>
    </w:p>
    <w:p>
      <w:pPr>
        <w:pStyle w:val="ListParagraph"/>
        <w:numPr>
          <w:ilvl w:val="0"/>
          <w:numId w:val="1"/>
        </w:numPr>
        <w:spacing w:after="40" w:before="40"/>
      </w:pPr>
      <w:r>
        <w:t xml:space="preserve">Pflugerville Capital Improvement Program (2025–2026)</w:t>
      </w:r>
    </w:p>
    <w:p>
      <w:pPr>
        <w:pStyle w:val="ListParagraph"/>
        <w:numPr>
          <w:ilvl w:val="0"/>
          <w:numId w:val="1"/>
        </w:numPr>
        <w:spacing w:after="40" w:before="40"/>
      </w:pPr>
      <w:r>
        <w:t xml:space="preserve">Texas Department of Transportation Interstate 35 Capital Express Program</w:t>
      </w:r>
    </w:p>
    <w:p>
      <w:pPr>
        <w:pStyle w:val="ListParagraph"/>
        <w:numPr>
          <w:ilvl w:val="0"/>
          <w:numId w:val="1"/>
        </w:numPr>
        <w:spacing w:after="40" w:before="40"/>
      </w:pPr>
      <w:r>
        <w:t xml:space="preserve">U.S. Department of Housing and Urban Development Comprehensive Housing Market Analysis — Austin–Round Rock Metropolitan Statistical Area</w:t>
      </w:r>
    </w:p>
    <w:p>
      <w:pPr>
        <w:pStyle w:val="ListParagraph"/>
        <w:numPr>
          <w:ilvl w:val="0"/>
          <w:numId w:val="1"/>
        </w:numPr>
        <w:spacing w:after="40" w:before="40"/>
      </w:pPr>
      <w:r>
        <w:t xml:space="preserve">National Low Income Housing Coalition "Out of Reach" Report 2025</w:t>
      </w:r>
    </w:p>
    <w:p>
      <w:pPr>
        <w:pStyle w:val="ListParagraph"/>
        <w:numPr>
          <w:ilvl w:val="0"/>
          <w:numId w:val="1"/>
        </w:numPr>
        <w:spacing w:after="40" w:before="40"/>
      </w:pPr>
      <w:r>
        <w:t xml:space="preserve">St. David's Foundation Annual Report 2024</w:t>
      </w:r>
    </w:p>
    <w:p>
      <w:pPr>
        <w:pStyle w:val="ListParagraph"/>
        <w:numPr>
          <w:ilvl w:val="0"/>
          <w:numId w:val="1"/>
        </w:numPr>
        <w:spacing w:after="40" w:before="40"/>
      </w:pPr>
      <w:r>
        <w:t xml:space="preserve">Travis County Community Development Block Grant Consolidated Plan (2025–2029)</w:t>
      </w:r>
    </w:p>
    <w:p>
      <w:pPr>
        <w:spacing w:after="80"/>
      </w:pPr>
      <w:r>
        <w:t xml:space="preserve"/>
      </w:r>
    </w:p>
    <w:p>
      <w:pPr>
        <w:pBdr>
          <w:bottom w:val="single" w:color="CCCCCC" w:sz="6" w:space="1"/>
        </w:pBdr>
        <w:spacing w:after="120" w:before="120"/>
      </w:pPr>
      <w:r>
        <w:t xml:space="preserve"/>
      </w:r>
    </w:p>
    <w:p>
      <w:pPr>
        <w:spacing w:after="80"/>
      </w:pPr>
      <w:r>
        <w:t xml:space="preserve"/>
      </w:r>
    </w:p>
    <w:p>
      <w:pPr>
        <w:pStyle w:val="Heading2"/>
        <w:spacing w:after="100" w:before="280"/>
      </w:pPr>
      <w:r>
        <w:rPr>
          <w:b/>
          <w:bCs/>
          <w:color w:val="1F3A5F"/>
          <w:sz w:val="28"/>
          <w:szCs w:val="28"/>
        </w:rPr>
        <w:t xml:space="preserve">APPENDIX B: GLOSSARY OF ACRONYMS</w:t>
      </w:r>
    </w:p>
    <w:p>
      <w:pPr>
        <w:spacing w:after="80"/>
      </w:pPr>
      <w:r>
        <w:t xml:space="preserve"/>
      </w:r>
    </w:p>
    <w:tbl>
      <w:tblPr>
        <w:tblW w:type="dxa" w:w="90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tcW w:type="dxa" w:w="45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Acronym</w:t>
            </w:r>
          </w:p>
        </w:tc>
        <w:tc>
          <w:tcPr>
            <w:tcW w:type="dxa" w:w="4500"/>
            <w:tcBorders>
              <w:top w:val="single" w:color="CCCCCC" w:sz="4"/>
              <w:left w:val="single" w:color="CCCCCC" w:sz="4"/>
              <w:bottom w:val="single" w:color="CCCCCC" w:sz="4"/>
              <w:right w:val="single" w:color="CCCCCC" w:sz="4"/>
            </w:tcBorders>
            <w:shd w:fill="1F3A5F"/>
          </w:tcPr>
          <w:p>
            <w:pPr>
              <w:spacing w:after="40" w:before="40"/>
            </w:pPr>
            <w:r>
              <w:rPr>
                <w:b/>
                <w:bCs/>
                <w:color w:val="FFFFFF"/>
                <w:sz w:val="18"/>
                <w:szCs w:val="18"/>
              </w:rPr>
              <w:t xml:space="preserve">Stands for</w:t>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r>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c>
          <w:tcPr>
            <w:tcW w:type="dxa" w:w="4500"/>
            <w:tcBorders>
              <w:top w:val="single" w:color="CCCCCC" w:sz="4"/>
              <w:left w:val="single" w:color="CCCCCC" w:sz="4"/>
              <w:bottom w:val="single" w:color="CCCCCC" w:sz="4"/>
              <w:right w:val="single" w:color="CCCCCC" w:sz="4"/>
            </w:tcBorders>
          </w:tcPr>
          <w:p>
            <w:pPr>
              <w:spacing w:after="40" w:before="40"/>
            </w:pPr>
            <w:r>
              <w:rPr>
                <w:sz w:val="18"/>
                <w:szCs w:val="18"/>
              </w:rPr>
            </w:r>
          </w:p>
        </w:tc>
      </w:tr>
    </w:tbl>
    <w:p>
      <w:pPr>
        <w:spacing w:after="120"/>
      </w:pPr>
      <w:r>
        <w:t xml:space="preserve"/>
      </w:r>
    </w:p>
    <w:p>
      <w:pPr>
        <w:spacing w:after="80"/>
      </w:pPr>
      <w:r>
        <w:t xml:space="preserve"/>
      </w:r>
    </w:p>
    <w:p>
      <w:pPr>
        <w:pBdr>
          <w:bottom w:val="single" w:color="CCCCCC" w:sz="6" w:space="1"/>
        </w:pBdr>
        <w:spacing w:after="120" w:before="120"/>
      </w:pPr>
      <w:r>
        <w:t xml:space="preserve"/>
      </w:r>
    </w:p>
    <w:p>
      <w:pPr>
        <w:spacing w:after="80"/>
      </w:pPr>
      <w:r>
        <w:t xml:space="preserve"/>
      </w:r>
    </w:p>
    <w:p>
      <w:pPr>
        <w:spacing w:after="60" w:before="60"/>
        <w:jc w:val="center"/>
      </w:pPr>
      <w:r>
        <w:rPr>
          <w:i/>
          <w:iCs/>
          <w:color w:val="5A5A5A"/>
          <w:sz w:val="18"/>
          <w:szCs w:val="18"/>
        </w:rPr>
        <w:t xml:space="preserve">Prepared by ThriveUp Academy's 19-platform AI-powered ecosystem</w:t>
      </w:r>
    </w:p>
    <w:p>
      <w:pPr>
        <w:spacing w:after="60" w:before="60"/>
        <w:jc w:val="center"/>
      </w:pPr>
      <w:r>
        <w:rPr>
          <w:i/>
          <w:iCs/>
          <w:color w:val="5A5A5A"/>
          <w:sz w:val="18"/>
          <w:szCs w:val="18"/>
        </w:rPr>
        <w:t xml:space="preserve">Dr. Terry Flood, Founder and CEO</w:t>
      </w:r>
    </w:p>
    <w:p>
      <w:pPr>
        <w:spacing w:after="60" w:before="60"/>
        <w:jc w:val="center"/>
      </w:pPr>
      <w:r>
        <w:rPr>
          <w:i/>
          <w:iCs/>
          <w:color w:val="5A5A5A"/>
          <w:sz w:val="18"/>
          <w:szCs w:val="18"/>
        </w:rPr>
        <w:t xml:space="preserve">thrivingcommunitiesforall.com</w:t>
      </w:r>
    </w:p>
    <w:p>
      <w:pPr>
        <w:spacing w:after="8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Austin-Housing-Gap-Assessment-v2</dc:title>
  <dc:creator>ThriveUp Academy</dc:creator>
  <dc:description>Plain-language stakeholder brief</dc:description>
  <cp:lastModifiedBy>Un-named</cp:lastModifiedBy>
  <cp:revision>1</cp:revision>
  <dcterms:created xsi:type="dcterms:W3CDTF">2026-04-20T19:11:51.876Z</dcterms:created>
  <dcterms:modified xsi:type="dcterms:W3CDTF">2026-04-20T19:11:51.877Z</dcterms:modified>
</cp:coreProperties>
</file>

<file path=docProps/custom.xml><?xml version="1.0" encoding="utf-8"?>
<Properties xmlns="http://schemas.openxmlformats.org/officeDocument/2006/custom-properties" xmlns:vt="http://schemas.openxmlformats.org/officeDocument/2006/docPropsVTypes"/>
</file>