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80"/>
        <w:jc w:val="center"/>
      </w:pPr>
      <w:r>
        <w:rPr>
          <w:b/>
          <w:bCs/>
          <w:color w:val="1F3A5F"/>
          <w:sz w:val="36"/>
          <w:szCs w:val="36"/>
        </w:rPr>
        <w:t xml:space="preserve">The Interstate 35 Corridor</w:t>
      </w:r>
    </w:p>
    <w:p>
      <w:pPr>
        <w:spacing w:after="60" w:before="60"/>
        <w:jc w:val="center"/>
      </w:pPr>
      <w:r>
        <w:rPr>
          <w:b/>
          <w:bCs/>
          <w:color w:val="1F3A5F"/>
          <w:sz w:val="28"/>
          <w:szCs w:val="28"/>
        </w:rPr>
        <w:t xml:space="preserve">Black-Youth Fatherhood &amp; Mentorship Gap Assessment</w:t>
      </w:r>
    </w:p>
    <w:p>
      <w:pPr>
        <w:spacing w:after="60" w:before="60"/>
        <w:jc w:val="center"/>
      </w:pPr>
      <w:r>
        <w:rPr>
          <w:i/>
          <w:iCs/>
          <w:color w:val="5A5A5A"/>
          <w:sz w:val="24"/>
          <w:szCs w:val="24"/>
        </w:rPr>
        <w:t xml:space="preserve">Waco / McLennan County  ↔  Austin / Travis County</w:t>
      </w:r>
    </w:p>
    <w:p>
      <w:pPr>
        <w:spacing w:after="60" w:before="60"/>
        <w:jc w:val="center"/>
      </w:pPr>
      <w:r>
        <w:rPr>
          <w:i/>
          <w:iCs/>
          <w:color w:val="5A5A5A"/>
          <w:sz w:val="20"/>
          <w:szCs w:val="20"/>
        </w:rPr>
        <w:t xml:space="preserve">Generated April 20, 2026 from live verified data</w:t>
      </w:r>
    </w:p>
    <w:p>
      <w:pPr>
        <w:spacing w:after="60" w:before="60"/>
      </w:pPr>
      <w:r>
        <w:rPr>
          <w:sz w:val="22"/>
          <w:szCs w:val="22"/>
        </w:rPr>
        <w:t xml:space="preserve"/>
      </w:r>
    </w:p>
    <w:p>
      <w:pPr>
        <w:spacing w:after="60" w:before="60"/>
        <w:jc w:val="center"/>
      </w:pPr>
      <w:r>
        <w:rPr>
          <w:color w:val="5A5A5A"/>
          <w:sz w:val="20"/>
          <w:szCs w:val="20"/>
        </w:rPr>
        <w:t xml:space="preserve">Prepared by ThriveUp Academy &amp; The Collaborative Advocate Foundation (TCAF)</w:t>
      </w:r>
    </w:p>
    <w:p>
      <w:pPr>
        <w:spacing w:after="60" w:before="60"/>
      </w:pPr>
      <w:r>
        <w:rPr>
          <w:sz w:val="22"/>
          <w:szCs w:val="22"/>
        </w:rPr>
        <w:t xml:space="preserve"/>
      </w:r>
    </w:p>
    <w:p>
      <w:pPr>
        <w:pStyle w:val="Heading2"/>
        <w:spacing w:after="120" w:before="320"/>
      </w:pPr>
      <w:r>
        <w:rPr>
          <w:b/>
          <w:bCs/>
          <w:color w:val="1F3A5F"/>
          <w:sz w:val="28"/>
          <w:szCs w:val="28"/>
        </w:rPr>
        <w:t xml:space="preserve">How to read this assessment</w:t>
      </w:r>
    </w:p>
    <w:p>
      <w:pPr>
        <w:spacing w:after="60" w:before="60"/>
      </w:pPr>
      <w:r>
        <w:rPr>
          <w:sz w:val="22"/>
          <w:szCs w:val="22"/>
        </w:rPr>
        <w:t xml:space="preserve">This document compares two Texas metropolitan areas — Waco / McLennan County and Austin / Travis County — that sit on the same 90-mile stretch of Interstate 35 and share the same gap in mentorship, fatherhood support, and opportunity for Black children and youth. Every number that appears here is either pulled directly from a federal or state data source (marked verified) or calculated from a verified base using a published methodology (marked estimated). Acronyms are spelled out the first time they appear, and a glossary of every source is provided at the end.</w:t>
      </w:r>
    </w:p>
    <w:p>
      <w:pPr>
        <w:spacing w:after="60" w:before="60"/>
      </w:pPr>
      <w:r>
        <w:rPr>
          <w:sz w:val="22"/>
          <w:szCs w:val="22"/>
        </w:rPr>
        <w:t xml:space="preserve"/>
      </w:r>
    </w:p>
    <w:p>
      <w:pPr>
        <w:pStyle w:val="Heading2"/>
        <w:spacing w:after="120" w:before="320"/>
      </w:pPr>
      <w:r>
        <w:rPr>
          <w:b/>
          <w:bCs/>
          <w:color w:val="1F3A5F"/>
          <w:sz w:val="28"/>
          <w:szCs w:val="28"/>
        </w:rPr>
        <w:t xml:space="preserve">Headline finding</w:t>
      </w:r>
    </w:p>
    <w:p>
      <w:pPr>
        <w:spacing w:after="60" w:before="60"/>
      </w:pPr>
      <w:r>
        <w:rPr>
          <w:b/>
          <w:bCs/>
          <w:color w:val="1F3A5F"/>
          <w:sz w:val="24"/>
          <w:szCs w:val="24"/>
        </w:rPr>
        <w:t xml:space="preserve">One challenge, two cities. Black children along the Interstate 35 corridor between Waco and Austin face the same gaps in mentorship, opportunity, and support — and the same coordinated response can close them.</w:t>
      </w:r>
    </w:p>
    <w:p>
      <w:pPr>
        <w:spacing w:after="60" w:before="60"/>
      </w:pPr>
      <w:r>
        <w:rPr>
          <w:sz w:val="22"/>
          <w:szCs w:val="22"/>
        </w:rPr>
        <w:t xml:space="preserve"/>
      </w:r>
    </w:p>
    <w:p>
      <w:pPr>
        <w:pStyle w:val="Heading2"/>
        <w:spacing w:after="120" w:before="320"/>
      </w:pPr>
      <w:r>
        <w:rPr>
          <w:b/>
          <w:bCs/>
          <w:color w:val="1F3A5F"/>
          <w:sz w:val="28"/>
          <w:szCs w:val="28"/>
        </w:rPr>
        <w:t xml:space="preserve">The story in six beats</w:t>
      </w:r>
    </w:p>
    <w:p>
      <w:pPr>
        <w:pStyle w:val="Heading3"/>
        <w:spacing w:after="80" w:before="220"/>
      </w:pPr>
      <w:r>
        <w:rPr>
          <w:b/>
          <w:bCs/>
          <w:color w:val="1F3A5F"/>
          <w:sz w:val="24"/>
          <w:szCs w:val="24"/>
        </w:rPr>
        <w:t xml:space="preserve">1. The same neighborhood pressures show up in both cities</w:t>
      </w:r>
    </w:p>
    <w:p>
      <w:pPr>
        <w:spacing w:after="60" w:before="60"/>
      </w:pPr>
      <w:r>
        <w:rPr>
          <w:sz w:val="22"/>
          <w:szCs w:val="22"/>
        </w:rPr>
        <w:t xml:space="preserve">In both Waco / McLennan County and Austin / Travis County, the historically Black ZIP codes carry the same set of pressures: higher rates of poverty and housing instability, fewer grocery stores within reach, harder access to mental-health care, and high scores on the federal Social Vulnerability Index (a CDC measure of how vulnerable a community is to disasters and chronic stress). These are not anecdotes — the numbers come from the U.S. Census American Community Survey, the CDC PLACES community health survey, and the U.S. Department of Agriculture food-access maps.</w:t>
      </w:r>
    </w:p>
    <w:p>
      <w:pPr>
        <w:pStyle w:val="Heading3"/>
        <w:spacing w:after="80" w:before="220"/>
      </w:pPr>
      <w:r>
        <w:rPr>
          <w:b/>
          <w:bCs/>
          <w:color w:val="1F3A5F"/>
          <w:sz w:val="24"/>
          <w:szCs w:val="24"/>
        </w:rPr>
        <w:t xml:space="preserve">2. The school-to-justice-system pattern repeats</w:t>
      </w:r>
    </w:p>
    <w:p>
      <w:pPr>
        <w:spacing w:after="60" w:before="60"/>
      </w:pPr>
      <w:r>
        <w:rPr>
          <w:sz w:val="22"/>
          <w:szCs w:val="22"/>
        </w:rPr>
        <w:t xml:space="preserve">Waco Independent School District has publicly documented disparities in how Black students are disciplined, reported each year by the Texas Education Agency. Austin Independent School District plus Manor, Del Valle, and Pflugerville school districts carries the same disparity at larger scale. In both cities, those discipline gaps feed measurable juvenile-justice referral rates in the same ZIP codes — a chain that is documented, not assumed.</w:t>
      </w:r>
    </w:p>
    <w:p>
      <w:pPr>
        <w:pStyle w:val="Heading3"/>
        <w:spacing w:after="80" w:before="220"/>
      </w:pPr>
      <w:r>
        <w:rPr>
          <w:b/>
          <w:bCs/>
          <w:color w:val="1F3A5F"/>
          <w:sz w:val="24"/>
          <w:szCs w:val="24"/>
        </w:rPr>
        <w:t xml:space="preserve">3. The fatherhood and mentorship gap, in real numbers</w:t>
      </w:r>
    </w:p>
    <w:p>
      <w:pPr>
        <w:spacing w:after="60" w:before="60"/>
      </w:pPr>
      <w:r>
        <w:rPr>
          <w:sz w:val="22"/>
          <w:szCs w:val="22"/>
        </w:rPr>
        <w:t xml:space="preserve">Calculated from verified U.S. Census data: roughly 5,619 Black children are growing up in single-parent households in McLennan County (Waco), and roughly 12,498 in Travis County (Austin). Together, that points to about 3,986 additional Black-male mentors needed across the two cities — adults who can show up consistently in a young person's life. This is a measurable, fillable gap, not a feeling.</w:t>
      </w:r>
    </w:p>
    <w:p>
      <w:pPr>
        <w:pStyle w:val="Heading3"/>
        <w:spacing w:after="80" w:before="220"/>
      </w:pPr>
      <w:r>
        <w:rPr>
          <w:b/>
          <w:bCs/>
          <w:color w:val="1F3A5F"/>
          <w:sz w:val="24"/>
          <w:szCs w:val="24"/>
        </w:rPr>
        <w:t xml:space="preserve">4. A coordinated answer instead of scattered programs</w:t>
      </w:r>
    </w:p>
    <w:p>
      <w:pPr>
        <w:spacing w:after="60" w:before="60"/>
      </w:pPr>
      <w:r>
        <w:rPr>
          <w:sz w:val="22"/>
          <w:szCs w:val="22"/>
        </w:rPr>
        <w:t xml:space="preserve">Today, the work happens in silos: one organization spots a family in need, another runs a fatherhood class, a third tries to find a mentor, a fourth handles housing or behavioral-health support. The Collaborative Advocate Foundation's platform connects all of these in one place, across both cities — so partners can stop duplicating each other and families can stop telling their story over and over.</w:t>
      </w:r>
    </w:p>
    <w:p>
      <w:pPr>
        <w:pStyle w:val="Heading3"/>
        <w:spacing w:after="80" w:before="220"/>
      </w:pPr>
      <w:r>
        <w:rPr>
          <w:b/>
          <w:bCs/>
          <w:color w:val="1F3A5F"/>
          <w:sz w:val="24"/>
          <w:szCs w:val="24"/>
        </w:rPr>
        <w:t xml:space="preserve">5. One funding plan, not many scattered asks</w:t>
      </w:r>
    </w:p>
    <w:p>
      <w:pPr>
        <w:spacing w:after="60" w:before="60"/>
      </w:pPr>
      <w:r>
        <w:rPr>
          <w:sz w:val="22"/>
          <w:szCs w:val="22"/>
        </w:rPr>
        <w:t xml:space="preserve">24 grant opportunities relevant to this corridor are currently tracked in the platform. The plan: (a) one statewide application to the Texas Health and Human Services Commission and the Texas Workforce Commission for the fatherhood and workforce pieces; (b) two place-based foundation tracks — Cooper Foundation and Waco Foundation in Waco, St. David's Foundation and Dell Foundation in Austin; (c) one corporate corridor ask aimed at employers with offices in both cities; and (d) one federal research letter of intent to the Patient-Centered Outcomes Research Institute (a federal health-research funder).</w:t>
      </w:r>
    </w:p>
    <w:p>
      <w:pPr>
        <w:pStyle w:val="Heading3"/>
        <w:spacing w:after="80" w:before="220"/>
      </w:pPr>
      <w:r>
        <w:rPr>
          <w:b/>
          <w:bCs/>
          <w:color w:val="1F3A5F"/>
          <w:sz w:val="24"/>
          <w:szCs w:val="24"/>
        </w:rPr>
        <w:t xml:space="preserve">6. The partner table that has to be at the table</w:t>
      </w:r>
    </w:p>
    <w:p>
      <w:pPr>
        <w:spacing w:after="60" w:before="60"/>
      </w:pPr>
      <w:r>
        <w:rPr>
          <w:sz w:val="22"/>
          <w:szCs w:val="22"/>
        </w:rPr>
        <w:t xml:space="preserve">United Way (in both cities), STARRY, Prosper Waco, 100 Black Men of Central Texas, the Austin Area Urban League, Big Brothers Big Sisters Lone Star, Foundation Communities (housing), Waco Independent School District plus Austin / Manor / Del Valle / Pflugerville school districts, the schools of social work at Baylor University and the University of Texas at Austin, Huston-Tillotson University (Austin's Historically Black University), and the employee-resource-group layer at H-E-B, Dell, USAA, Tito's, McLane, Indeed, Google, and Baylor Scott &amp; White Healthcare.</w:t>
      </w:r>
    </w:p>
    <w:p>
      <w:pPr>
        <w:pStyle w:val="Heading2"/>
        <w:spacing w:after="120" w:before="320"/>
      </w:pPr>
      <w:r>
        <w:rPr>
          <w:b/>
          <w:bCs/>
          <w:color w:val="1F3A5F"/>
          <w:sz w:val="28"/>
          <w:szCs w:val="28"/>
        </w:rPr>
        <w:t xml:space="preserve">How the two cities mirror each other</w:t>
      </w:r>
    </w:p>
    <w:p>
      <w:pPr>
        <w:spacing w:after="60" w:before="60"/>
      </w:pPr>
      <w:r>
        <w:rPr>
          <w:sz w:val="22"/>
          <w:szCs w:val="22"/>
        </w:rPr>
        <w:t xml:space="preserve">These are the patterns that show up the same in both metros — the reason the corridor must be addressed as one system, not two separate cities.</w:t>
      </w:r>
    </w:p>
    <w:p>
      <w:pPr>
        <w:pStyle w:val="ListParagraph"/>
        <w:numPr>
          <w:ilvl w:val="0"/>
          <w:numId w:val="1"/>
        </w:numPr>
        <w:spacing w:after="30" w:before="30"/>
      </w:pPr>
      <w:r>
        <w:rPr>
          <w:b w:val="false"/>
          <w:bCs w:val="false"/>
          <w:sz w:val="22"/>
          <w:szCs w:val="22"/>
        </w:rPr>
        <w:t xml:space="preserve">Both cities show the same chain of pressure: concentrated neighborhood hardship in historically Black ZIP codes feeds higher juvenile-justice referrals and school dropout, which in turn feeds the population of young adults disconnected from school and work.</w:t>
      </w:r>
    </w:p>
    <w:p>
      <w:pPr>
        <w:pStyle w:val="ListParagraph"/>
        <w:numPr>
          <w:ilvl w:val="0"/>
          <w:numId w:val="1"/>
        </w:numPr>
        <w:spacing w:after="30" w:before="30"/>
      </w:pPr>
      <w:r>
        <w:rPr>
          <w:b w:val="false"/>
          <w:bCs w:val="false"/>
          <w:sz w:val="22"/>
          <w:szCs w:val="22"/>
        </w:rPr>
        <w:t xml:space="preserve">Both cities operate inside the Big Brothers Big Sisters Lone Star network — the same waitlist of Black boys waiting for a mentor is documented by the same parent organization in both places.</w:t>
      </w:r>
    </w:p>
    <w:p>
      <w:pPr>
        <w:pStyle w:val="ListParagraph"/>
        <w:numPr>
          <w:ilvl w:val="0"/>
          <w:numId w:val="1"/>
        </w:numPr>
        <w:spacing w:after="30" w:before="30"/>
      </w:pPr>
      <w:r>
        <w:rPr>
          <w:b w:val="false"/>
          <w:bCs w:val="false"/>
          <w:sz w:val="22"/>
          <w:szCs w:val="22"/>
        </w:rPr>
        <w:t xml:space="preserve">Both cities draw from the same statewide funding pools: the Texas Health and Human Services Commission's fatherhood program and the Texas Workforce Commission's Skills Development Fund. One state application can serve both cities at the same time.</w:t>
      </w:r>
    </w:p>
    <w:p>
      <w:pPr>
        <w:pStyle w:val="ListParagraph"/>
        <w:numPr>
          <w:ilvl w:val="0"/>
          <w:numId w:val="1"/>
        </w:numPr>
        <w:spacing w:after="30" w:before="30"/>
      </w:pPr>
      <w:r>
        <w:rPr>
          <w:b w:val="false"/>
          <w:bCs w:val="false"/>
          <w:sz w:val="22"/>
          <w:szCs w:val="22"/>
        </w:rPr>
        <w:t xml:space="preserve">Both cities have a regulated school district with publicly disproportionate discipline rates for Black students. The pattern is the same in Waco and Austin; only the scale differs.</w:t>
      </w:r>
    </w:p>
    <w:p>
      <w:pPr>
        <w:pStyle w:val="Heading3"/>
        <w:spacing w:after="80" w:before="220"/>
      </w:pPr>
      <w:r>
        <w:rPr>
          <w:b/>
          <w:bCs/>
          <w:color w:val="1F3A5F"/>
          <w:sz w:val="24"/>
          <w:szCs w:val="24"/>
        </w:rPr>
        <w:t xml:space="preserve">Where they differ</w:t>
      </w:r>
    </w:p>
    <w:p>
      <w:pPr>
        <w:spacing w:after="60" w:before="60"/>
      </w:pPr>
      <w:r>
        <w:rPr>
          <w:sz w:val="22"/>
          <w:szCs w:val="22"/>
        </w:rPr>
        <w:t xml:space="preserve">The differences matter for how the work is delivered in each city, even though the underlying need is the same.</w:t>
      </w:r>
    </w:p>
    <w:p>
      <w:pPr>
        <w:pStyle w:val="ListParagraph"/>
        <w:numPr>
          <w:ilvl w:val="0"/>
          <w:numId w:val="1"/>
        </w:numPr>
        <w:spacing w:after="30" w:before="30"/>
      </w:pPr>
      <w:r>
        <w:rPr>
          <w:b w:val="false"/>
          <w:bCs w:val="false"/>
          <w:sz w:val="22"/>
          <w:szCs w:val="22"/>
        </w:rPr>
        <w:t xml:space="preserve">Concentration vs. spread: Waco's need is concentrated in one ZIP code (76704), so a single neighborhood-scale program can reach most of it. Austin's need is spread across 6 ZIP codes and four school districts, so the response has to be a hub with multiple spokes.</w:t>
      </w:r>
    </w:p>
    <w:p>
      <w:pPr>
        <w:pStyle w:val="ListParagraph"/>
        <w:numPr>
          <w:ilvl w:val="0"/>
          <w:numId w:val="1"/>
        </w:numPr>
        <w:spacing w:after="30" w:before="30"/>
      </w:pPr>
      <w:r>
        <w:rPr>
          <w:b w:val="false"/>
          <w:bCs w:val="false"/>
          <w:sz w:val="22"/>
          <w:szCs w:val="22"/>
        </w:rPr>
        <w:t xml:space="preserve">Foundation funding: Austin has roughly ten times more local foundation money available — and roughly ten times more competition for it. Waco has tighter relationships and faster decisions.</w:t>
      </w:r>
    </w:p>
    <w:p>
      <w:pPr>
        <w:pStyle w:val="ListParagraph"/>
        <w:numPr>
          <w:ilvl w:val="0"/>
          <w:numId w:val="1"/>
        </w:numPr>
        <w:spacing w:after="30" w:before="30"/>
      </w:pPr>
      <w:r>
        <w:rPr>
          <w:b w:val="false"/>
          <w:bCs w:val="false"/>
          <w:sz w:val="22"/>
          <w:szCs w:val="22"/>
        </w:rPr>
        <w:t xml:space="preserve">Cultural anchor: Austin has Six Square, a city-designated Black cultural district. Waco has no equivalent yet — building one is part of the plan.</w:t>
      </w:r>
    </w:p>
    <w:p>
      <w:pPr>
        <w:pStyle w:val="ListParagraph"/>
        <w:numPr>
          <w:ilvl w:val="0"/>
          <w:numId w:val="1"/>
        </w:numPr>
        <w:spacing w:after="30" w:before="30"/>
      </w:pPr>
      <w:r>
        <w:rPr>
          <w:b w:val="false"/>
          <w:bCs w:val="false"/>
          <w:sz w:val="22"/>
          <w:szCs w:val="22"/>
        </w:rPr>
        <w:t xml:space="preserve">Higher education: Austin has Huston-Tillotson University, a Historically Black College or University (HBCU). Waco does not. Baylor University's Diana R. Garland School of Social Work is the willing local partner instead.</w:t>
      </w:r>
    </w:p>
    <w:p>
      <w:pPr>
        <w:pStyle w:val="ListParagraph"/>
        <w:numPr>
          <w:ilvl w:val="0"/>
          <w:numId w:val="1"/>
        </w:numPr>
        <w:spacing w:after="30" w:before="30"/>
      </w:pPr>
      <w:r>
        <w:rPr>
          <w:b w:val="false"/>
          <w:bCs w:val="false"/>
          <w:sz w:val="22"/>
          <w:szCs w:val="22"/>
        </w:rPr>
        <w:t xml:space="preserve">Housing pressure: Austin's response has to include housing stability (in partnership with Foundation Communities) because families are being priced out of the historic neighborhoods. Waco's families are stable in place but under-resourced.</w:t>
      </w:r>
    </w:p>
    <w:p>
      <w:pPr>
        <w:pStyle w:val="ListParagraph"/>
        <w:numPr>
          <w:ilvl w:val="0"/>
          <w:numId w:val="1"/>
        </w:numPr>
        <w:spacing w:after="30" w:before="30"/>
      </w:pPr>
      <w:r>
        <w:rPr>
          <w:b w:val="false"/>
          <w:bCs w:val="false"/>
          <w:sz w:val="22"/>
          <w:szCs w:val="22"/>
        </w:rPr>
        <w:t xml:space="preserve">Mentorship infrastructure: 100 Black Men of Central Texas is active in Austin but does not yet have a Waco chapter. Launching a local equivalent is the first-year deliverable in Waco.</w:t>
      </w:r>
    </w:p>
    <w:p>
      <w:pPr>
        <w:pStyle w:val="Heading3"/>
        <w:spacing w:after="80" w:before="220"/>
      </w:pPr>
      <w:r>
        <w:rPr>
          <w:b/>
          <w:bCs/>
          <w:color w:val="1F3A5F"/>
          <w:sz w:val="24"/>
          <w:szCs w:val="24"/>
        </w:rPr>
        <w:t xml:space="preserve">Partner alignment by layer</w:t>
      </w:r>
    </w:p>
    <w:p>
      <w:pPr>
        <w:spacing w:after="60" w:before="60"/>
      </w:pPr>
      <w:r>
        <w:rPr>
          <w:sz w:val="22"/>
          <w:szCs w:val="22"/>
        </w:rPr>
        <w:t xml:space="preserve">Where each city's existing partner sits on the same coordinated rail.</w:t>
      </w:r>
    </w:p>
    <w:tbl>
      <w:tblPr>
        <w:tblW w:type="dxa" w:w="90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gridCol w:w="100"/>
      </w:tblGrid>
      <w:tr>
        <w:trPr>
          <w:tblHeader/>
        </w:trPr>
        <w:tc>
          <w:tcPr>
            <w:tcW w:type="dxa" w:w="2250"/>
            <w:tcBorders>
              <w:top w:val="single" w:color="CCCCCC" w:sz="4"/>
              <w:left w:val="single" w:color="CCCCCC" w:sz="4"/>
              <w:bottom w:val="single" w:color="CCCCCC" w:sz="4"/>
              <w:right w:val="single" w:color="CCCCCC" w:sz="4"/>
            </w:tcBorders>
            <w:shd w:fill="1F3A5F"/>
          </w:tcPr>
          <w:p>
            <w:pPr>
              <w:spacing w:after="30" w:before="30"/>
            </w:pPr>
            <w:r>
              <w:rPr>
                <w:b/>
                <w:bCs/>
                <w:color w:val="FFFFFF"/>
                <w:sz w:val="20"/>
                <w:szCs w:val="20"/>
              </w:rPr>
              <w:t xml:space="preserve">Layer</w:t>
            </w:r>
          </w:p>
        </w:tc>
        <w:tc>
          <w:tcPr>
            <w:tcW w:type="dxa" w:w="2250"/>
            <w:tcBorders>
              <w:top w:val="single" w:color="CCCCCC" w:sz="4"/>
              <w:left w:val="single" w:color="CCCCCC" w:sz="4"/>
              <w:bottom w:val="single" w:color="CCCCCC" w:sz="4"/>
              <w:right w:val="single" w:color="CCCCCC" w:sz="4"/>
            </w:tcBorders>
            <w:shd w:fill="1F3A5F"/>
          </w:tcPr>
          <w:p>
            <w:pPr>
              <w:spacing w:after="30" w:before="30"/>
            </w:pPr>
            <w:r>
              <w:rPr>
                <w:b/>
                <w:bCs/>
                <w:color w:val="FFFFFF"/>
                <w:sz w:val="20"/>
                <w:szCs w:val="20"/>
              </w:rPr>
              <w:t xml:space="preserve">Waco partner</w:t>
            </w:r>
          </w:p>
        </w:tc>
        <w:tc>
          <w:tcPr>
            <w:tcW w:type="dxa" w:w="2250"/>
            <w:tcBorders>
              <w:top w:val="single" w:color="CCCCCC" w:sz="4"/>
              <w:left w:val="single" w:color="CCCCCC" w:sz="4"/>
              <w:bottom w:val="single" w:color="CCCCCC" w:sz="4"/>
              <w:right w:val="single" w:color="CCCCCC" w:sz="4"/>
            </w:tcBorders>
            <w:shd w:fill="1F3A5F"/>
          </w:tcPr>
          <w:p>
            <w:pPr>
              <w:spacing w:after="30" w:before="30"/>
            </w:pPr>
            <w:r>
              <w:rPr>
                <w:b/>
                <w:bCs/>
                <w:color w:val="FFFFFF"/>
                <w:sz w:val="20"/>
                <w:szCs w:val="20"/>
              </w:rPr>
              <w:t xml:space="preserve">Austin partner</w:t>
            </w:r>
          </w:p>
        </w:tc>
        <w:tc>
          <w:tcPr>
            <w:tcW w:type="dxa" w:w="2250"/>
            <w:tcBorders>
              <w:top w:val="single" w:color="CCCCCC" w:sz="4"/>
              <w:left w:val="single" w:color="CCCCCC" w:sz="4"/>
              <w:bottom w:val="single" w:color="CCCCCC" w:sz="4"/>
              <w:right w:val="single" w:color="CCCCCC" w:sz="4"/>
            </w:tcBorders>
            <w:shd w:fill="1F3A5F"/>
          </w:tcPr>
          <w:p>
            <w:pPr>
              <w:spacing w:after="30" w:before="30"/>
            </w:pPr>
            <w:r>
              <w:rPr>
                <w:b/>
                <w:bCs/>
                <w:color w:val="FFFFFF"/>
                <w:sz w:val="20"/>
                <w:szCs w:val="20"/>
              </w:rPr>
              <w:t xml:space="preserve">Shared corridor rail</w:t>
            </w:r>
          </w:p>
        </w:tc>
      </w:tr>
      <w:tr>
        <w:tc>
          <w:tcPr>
            <w:tcW w:type="dxa" w:w="2250"/>
            <w:tcBorders>
              <w:top w:val="single" w:color="CCCCCC" w:sz="4"/>
              <w:left w:val="single" w:color="CCCCCC" w:sz="4"/>
              <w:bottom w:val="single" w:color="CCCCCC" w:sz="4"/>
              <w:right w:val="single" w:color="CCCCCC" w:sz="4"/>
            </w:tcBorders>
          </w:tcPr>
          <w:p>
            <w:pPr>
              <w:spacing w:after="30" w:before="30"/>
            </w:pPr>
            <w:r>
              <w:rPr>
                <w:sz w:val="20"/>
                <w:szCs w:val="20"/>
              </w:rPr>
              <w:t xml:space="preserve">Backbone</w:t>
            </w:r>
          </w:p>
        </w:tc>
        <w:tc>
          <w:tcPr>
            <w:tcW w:type="dxa" w:w="2250"/>
            <w:tcBorders>
              <w:top w:val="single" w:color="CCCCCC" w:sz="4"/>
              <w:left w:val="single" w:color="CCCCCC" w:sz="4"/>
              <w:bottom w:val="single" w:color="CCCCCC" w:sz="4"/>
              <w:right w:val="single" w:color="CCCCCC" w:sz="4"/>
            </w:tcBorders>
          </w:tcPr>
          <w:p>
            <w:pPr>
              <w:spacing w:after="30" w:before="30"/>
            </w:pPr>
            <w:r>
              <w:rPr>
                <w:sz w:val="20"/>
                <w:szCs w:val="20"/>
              </w:rPr>
              <w:t xml:space="preserve">Prosper Waco</w:t>
            </w:r>
          </w:p>
        </w:tc>
        <w:tc>
          <w:tcPr>
            <w:tcW w:type="dxa" w:w="2250"/>
            <w:tcBorders>
              <w:top w:val="single" w:color="CCCCCC" w:sz="4"/>
              <w:left w:val="single" w:color="CCCCCC" w:sz="4"/>
              <w:bottom w:val="single" w:color="CCCCCC" w:sz="4"/>
              <w:right w:val="single" w:color="CCCCCC" w:sz="4"/>
            </w:tcBorders>
          </w:tcPr>
          <w:p>
            <w:pPr>
              <w:spacing w:after="30" w:before="30"/>
            </w:pPr>
            <w:r>
              <w:rPr>
                <w:sz w:val="20"/>
                <w:szCs w:val="20"/>
              </w:rPr>
              <w:t xml:space="preserve">Mission Capital</w:t>
            </w:r>
          </w:p>
        </w:tc>
        <w:tc>
          <w:tcPr>
            <w:tcW w:type="dxa" w:w="2250"/>
            <w:tcBorders>
              <w:top w:val="single" w:color="CCCCCC" w:sz="4"/>
              <w:left w:val="single" w:color="CCCCCC" w:sz="4"/>
              <w:bottom w:val="single" w:color="CCCCCC" w:sz="4"/>
              <w:right w:val="single" w:color="CCCCCC" w:sz="4"/>
            </w:tcBorders>
          </w:tcPr>
          <w:p>
            <w:pPr>
              <w:spacing w:after="30" w:before="30"/>
            </w:pPr>
            <w:r>
              <w:rPr>
                <w:sz w:val="20"/>
                <w:szCs w:val="20"/>
              </w:rPr>
              <w:t xml:space="preserve">Joint corridor learning agenda</w:t>
            </w:r>
          </w:p>
        </w:tc>
      </w:tr>
      <w:tr>
        <w:tc>
          <w:tcPr>
            <w:tcW w:type="dxa" w:w="225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Direct service (fatherhood)</w:t>
            </w:r>
          </w:p>
        </w:tc>
        <w:tc>
          <w:tcPr>
            <w:tcW w:type="dxa" w:w="225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STARRY Fatherhood Program</w:t>
            </w:r>
          </w:p>
        </w:tc>
        <w:tc>
          <w:tcPr>
            <w:tcW w:type="dxa" w:w="225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AAUL + 100 BMCT</w:t>
            </w:r>
          </w:p>
        </w:tc>
        <w:tc>
          <w:tcPr>
            <w:tcW w:type="dxa" w:w="225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TX HHSC Fatherhood Initiative</w:t>
            </w:r>
          </w:p>
        </w:tc>
      </w:tr>
      <w:tr>
        <w:tc>
          <w:tcPr>
            <w:tcW w:type="dxa" w:w="2250"/>
            <w:tcBorders>
              <w:top w:val="single" w:color="CCCCCC" w:sz="4"/>
              <w:left w:val="single" w:color="CCCCCC" w:sz="4"/>
              <w:bottom w:val="single" w:color="CCCCCC" w:sz="4"/>
              <w:right w:val="single" w:color="CCCCCC" w:sz="4"/>
            </w:tcBorders>
          </w:tcPr>
          <w:p>
            <w:pPr>
              <w:spacing w:after="30" w:before="30"/>
            </w:pPr>
            <w:r>
              <w:rPr>
                <w:sz w:val="20"/>
                <w:szCs w:val="20"/>
              </w:rPr>
              <w:t xml:space="preserve">Mentor network</w:t>
            </w:r>
          </w:p>
        </w:tc>
        <w:tc>
          <w:tcPr>
            <w:tcW w:type="dxa" w:w="2250"/>
            <w:tcBorders>
              <w:top w:val="single" w:color="CCCCCC" w:sz="4"/>
              <w:left w:val="single" w:color="CCCCCC" w:sz="4"/>
              <w:bottom w:val="single" w:color="CCCCCC" w:sz="4"/>
              <w:right w:val="single" w:color="CCCCCC" w:sz="4"/>
            </w:tcBorders>
          </w:tcPr>
          <w:p>
            <w:pPr>
              <w:spacing w:after="30" w:before="30"/>
            </w:pPr>
            <w:r>
              <w:rPr>
                <w:sz w:val="20"/>
                <w:szCs w:val="20"/>
              </w:rPr>
              <w:t xml:space="preserve">BBBS West Central TX</w:t>
            </w:r>
          </w:p>
        </w:tc>
        <w:tc>
          <w:tcPr>
            <w:tcW w:type="dxa" w:w="2250"/>
            <w:tcBorders>
              <w:top w:val="single" w:color="CCCCCC" w:sz="4"/>
              <w:left w:val="single" w:color="CCCCCC" w:sz="4"/>
              <w:bottom w:val="single" w:color="CCCCCC" w:sz="4"/>
              <w:right w:val="single" w:color="CCCCCC" w:sz="4"/>
            </w:tcBorders>
          </w:tcPr>
          <w:p>
            <w:pPr>
              <w:spacing w:after="30" w:before="30"/>
            </w:pPr>
            <w:r>
              <w:rPr>
                <w:sz w:val="20"/>
                <w:szCs w:val="20"/>
              </w:rPr>
              <w:t xml:space="preserve">BBBS Lone Star (Austin)</w:t>
            </w:r>
          </w:p>
        </w:tc>
        <w:tc>
          <w:tcPr>
            <w:tcW w:type="dxa" w:w="2250"/>
            <w:tcBorders>
              <w:top w:val="single" w:color="CCCCCC" w:sz="4"/>
              <w:left w:val="single" w:color="CCCCCC" w:sz="4"/>
              <w:bottom w:val="single" w:color="CCCCCC" w:sz="4"/>
              <w:right w:val="single" w:color="CCCCCC" w:sz="4"/>
            </w:tcBorders>
          </w:tcPr>
          <w:p>
            <w:pPr>
              <w:spacing w:after="30" w:before="30"/>
            </w:pPr>
            <w:r>
              <w:rPr>
                <w:sz w:val="20"/>
                <w:szCs w:val="20"/>
              </w:rPr>
              <w:t xml:space="preserve">Single parent network — one pipeline</w:t>
            </w:r>
          </w:p>
        </w:tc>
      </w:tr>
      <w:tr>
        <w:tc>
          <w:tcPr>
            <w:tcW w:type="dxa" w:w="225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Higher-ed pipeline</w:t>
            </w:r>
          </w:p>
        </w:tc>
        <w:tc>
          <w:tcPr>
            <w:tcW w:type="dxa" w:w="225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Baylor / MCC / TSTC</w:t>
            </w:r>
          </w:p>
        </w:tc>
        <w:tc>
          <w:tcPr>
            <w:tcW w:type="dxa" w:w="225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UT Austin / Huston-Tillotson / ACC</w:t>
            </w:r>
          </w:p>
        </w:tc>
        <w:tc>
          <w:tcPr>
            <w:tcW w:type="dxa" w:w="225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TX work-study + service-learning</w:t>
            </w:r>
          </w:p>
        </w:tc>
      </w:tr>
      <w:tr>
        <w:tc>
          <w:tcPr>
            <w:tcW w:type="dxa" w:w="2250"/>
            <w:tcBorders>
              <w:top w:val="single" w:color="CCCCCC" w:sz="4"/>
              <w:left w:val="single" w:color="CCCCCC" w:sz="4"/>
              <w:bottom w:val="single" w:color="CCCCCC" w:sz="4"/>
              <w:right w:val="single" w:color="CCCCCC" w:sz="4"/>
            </w:tcBorders>
          </w:tcPr>
          <w:p>
            <w:pPr>
              <w:spacing w:after="30" w:before="30"/>
            </w:pPr>
            <w:r>
              <w:rPr>
                <w:sz w:val="20"/>
                <w:szCs w:val="20"/>
              </w:rPr>
              <w:t xml:space="preserve">Workforce</w:t>
            </w:r>
          </w:p>
        </w:tc>
        <w:tc>
          <w:tcPr>
            <w:tcW w:type="dxa" w:w="2250"/>
            <w:tcBorders>
              <w:top w:val="single" w:color="CCCCCC" w:sz="4"/>
              <w:left w:val="single" w:color="CCCCCC" w:sz="4"/>
              <w:bottom w:val="single" w:color="CCCCCC" w:sz="4"/>
              <w:right w:val="single" w:color="CCCCCC" w:sz="4"/>
            </w:tcBorders>
          </w:tcPr>
          <w:p>
            <w:pPr>
              <w:spacing w:after="30" w:before="30"/>
            </w:pPr>
            <w:r>
              <w:rPr>
                <w:sz w:val="20"/>
                <w:szCs w:val="20"/>
              </w:rPr>
              <w:t xml:space="preserve">Heart of Texas Workforce Board</w:t>
            </w:r>
          </w:p>
        </w:tc>
        <w:tc>
          <w:tcPr>
            <w:tcW w:type="dxa" w:w="2250"/>
            <w:tcBorders>
              <w:top w:val="single" w:color="CCCCCC" w:sz="4"/>
              <w:left w:val="single" w:color="CCCCCC" w:sz="4"/>
              <w:bottom w:val="single" w:color="CCCCCC" w:sz="4"/>
              <w:right w:val="single" w:color="CCCCCC" w:sz="4"/>
            </w:tcBorders>
          </w:tcPr>
          <w:p>
            <w:pPr>
              <w:spacing w:after="30" w:before="30"/>
            </w:pPr>
            <w:r>
              <w:rPr>
                <w:sz w:val="20"/>
                <w:szCs w:val="20"/>
              </w:rPr>
              <w:t xml:space="preserve">Workforce Solutions Capital Area</w:t>
            </w:r>
          </w:p>
        </w:tc>
        <w:tc>
          <w:tcPr>
            <w:tcW w:type="dxa" w:w="2250"/>
            <w:tcBorders>
              <w:top w:val="single" w:color="CCCCCC" w:sz="4"/>
              <w:left w:val="single" w:color="CCCCCC" w:sz="4"/>
              <w:bottom w:val="single" w:color="CCCCCC" w:sz="4"/>
              <w:right w:val="single" w:color="CCCCCC" w:sz="4"/>
            </w:tcBorders>
          </w:tcPr>
          <w:p>
            <w:pPr>
              <w:spacing w:after="30" w:before="30"/>
            </w:pPr>
            <w:r>
              <w:rPr>
                <w:sz w:val="20"/>
                <w:szCs w:val="20"/>
              </w:rPr>
              <w:t xml:space="preserve">TWC Skills Development Fund</w:t>
            </w:r>
          </w:p>
        </w:tc>
      </w:tr>
      <w:tr>
        <w:tc>
          <w:tcPr>
            <w:tcW w:type="dxa" w:w="225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Funders</w:t>
            </w:r>
          </w:p>
        </w:tc>
        <w:tc>
          <w:tcPr>
            <w:tcW w:type="dxa" w:w="225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Cooper / Waco Fdn / UW Waco-McLennan</w:t>
            </w:r>
          </w:p>
        </w:tc>
        <w:tc>
          <w:tcPr>
            <w:tcW w:type="dxa" w:w="225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St. David's / Dell / UW Greater Austin</w:t>
            </w:r>
          </w:p>
        </w:tc>
        <w:tc>
          <w:tcPr>
            <w:tcW w:type="dxa" w:w="225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I-35 Corridor co-funded cohort</w:t>
            </w:r>
          </w:p>
        </w:tc>
      </w:tr>
    </w:tbl>
    <w:p>
      <w:pPr>
        <w:pStyle w:val="Heading2"/>
        <w:spacing w:after="120" w:before="320"/>
      </w:pPr>
      <w:r>
        <w:rPr>
          <w:b/>
          <w:bCs/>
          <w:color w:val="1F3A5F"/>
          <w:sz w:val="28"/>
          <w:szCs w:val="28"/>
        </w:rPr>
        <w:t xml:space="preserve">Deep dive — Waco / McLennan County</w:t>
      </w:r>
    </w:p>
    <w:p>
      <w:pPr>
        <w:spacing w:after="60" w:before="60"/>
      </w:pPr>
      <w:r>
        <w:rPr>
          <w:i/>
          <w:iCs/>
          <w:color w:val="5A5A5A"/>
          <w:sz w:val="22"/>
          <w:szCs w:val="22"/>
        </w:rPr>
        <w:t xml:space="preserve">School district(s): Waco Independent School District</w:t>
      </w:r>
    </w:p>
    <w:p>
      <w:pPr>
        <w:spacing w:after="60" w:before="60"/>
      </w:pPr>
      <w:r>
        <w:rPr>
          <w:i/>
          <w:iCs/>
          <w:color w:val="5A5A5A"/>
          <w:sz w:val="22"/>
          <w:szCs w:val="22"/>
        </w:rPr>
        <w:t xml:space="preserve">Anchor ZIP codes: 76704, 76707, 76705, 76706, 76710, 76712 (focus ZIP: 76704)</w:t>
      </w:r>
    </w:p>
    <w:p>
      <w:pPr>
        <w:spacing w:after="60" w:before="60"/>
      </w:pPr>
      <w:r>
        <w:rPr>
          <w:i/>
          <w:iCs/>
          <w:color w:val="5A5A5A"/>
          <w:sz w:val="22"/>
          <w:szCs w:val="22"/>
        </w:rPr>
        <w:t xml:space="preserve">Geographic character: concentrated — the Black community is concentrated in a smaller set of ZIP codes.</w:t>
      </w:r>
    </w:p>
    <w:p>
      <w:pPr>
        <w:spacing w:after="60" w:before="60"/>
      </w:pPr>
      <w:r>
        <w:rPr>
          <w:sz w:val="22"/>
          <w:szCs w:val="22"/>
        </w:rPr>
        <w:t xml:space="preserve"/>
      </w:r>
    </w:p>
    <w:p>
      <w:pPr>
        <w:pStyle w:val="Heading3"/>
        <w:spacing w:after="80" w:before="220"/>
      </w:pPr>
      <w:r>
        <w:rPr>
          <w:b/>
          <w:bCs/>
          <w:color w:val="1F3A5F"/>
          <w:sz w:val="24"/>
          <w:szCs w:val="24"/>
        </w:rPr>
        <w:t xml:space="preserve">Population &amp; community-condition baseline</w:t>
      </w:r>
    </w:p>
    <w:tbl>
      <w:tblPr>
        <w:tblW w:type="dxa" w:w="90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tcW w:type="dxa" w:w="3000"/>
            <w:tcBorders>
              <w:top w:val="single" w:color="CCCCCC" w:sz="4"/>
              <w:left w:val="single" w:color="CCCCCC" w:sz="4"/>
              <w:bottom w:val="single" w:color="CCCCCC" w:sz="4"/>
              <w:right w:val="single" w:color="CCCCCC" w:sz="4"/>
            </w:tcBorders>
            <w:shd w:fill="1F3A5F"/>
          </w:tcPr>
          <w:p>
            <w:pPr>
              <w:spacing w:after="30" w:before="30"/>
            </w:pPr>
            <w:r>
              <w:rPr>
                <w:b/>
                <w:bCs/>
                <w:color w:val="FFFFFF"/>
                <w:sz w:val="20"/>
                <w:szCs w:val="20"/>
              </w:rPr>
              <w:t xml:space="preserve">Measure</w:t>
            </w:r>
          </w:p>
        </w:tc>
        <w:tc>
          <w:tcPr>
            <w:tcW w:type="dxa" w:w="3000"/>
            <w:tcBorders>
              <w:top w:val="single" w:color="CCCCCC" w:sz="4"/>
              <w:left w:val="single" w:color="CCCCCC" w:sz="4"/>
              <w:bottom w:val="single" w:color="CCCCCC" w:sz="4"/>
              <w:right w:val="single" w:color="CCCCCC" w:sz="4"/>
            </w:tcBorders>
            <w:shd w:fill="1F3A5F"/>
          </w:tcPr>
          <w:p>
            <w:pPr>
              <w:spacing w:after="30" w:before="30"/>
            </w:pPr>
            <w:r>
              <w:rPr>
                <w:b/>
                <w:bCs/>
                <w:color w:val="FFFFFF"/>
                <w:sz w:val="20"/>
                <w:szCs w:val="20"/>
              </w:rPr>
              <w:t xml:space="preserve">Value</w:t>
            </w:r>
          </w:p>
        </w:tc>
        <w:tc>
          <w:tcPr>
            <w:tcW w:type="dxa" w:w="3000"/>
            <w:tcBorders>
              <w:top w:val="single" w:color="CCCCCC" w:sz="4"/>
              <w:left w:val="single" w:color="CCCCCC" w:sz="4"/>
              <w:bottom w:val="single" w:color="CCCCCC" w:sz="4"/>
              <w:right w:val="single" w:color="CCCCCC" w:sz="4"/>
            </w:tcBorders>
            <w:shd w:fill="1F3A5F"/>
          </w:tcPr>
          <w:p>
            <w:pPr>
              <w:spacing w:after="30" w:before="30"/>
            </w:pPr>
            <w:r>
              <w:rPr>
                <w:b/>
                <w:bCs/>
                <w:color w:val="FFFFFF"/>
                <w:sz w:val="20"/>
                <w:szCs w:val="20"/>
              </w:rPr>
              <w:t xml:space="preserve">Source / confidence</w:t>
            </w:r>
          </w:p>
        </w:tc>
      </w:tr>
      <w:tr>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Total county population</w:t>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261,090</w:t>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U.S. Census ACS 5-year (via gis-engine) (verified)</w:t>
            </w:r>
          </w:p>
        </w:tc>
      </w:tr>
      <w:tr>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Poverty rate</w:t>
            </w:r>
          </w:p>
        </w:tc>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17.2 %</w:t>
            </w:r>
          </w:p>
        </w:tc>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U.S. Census ACS 5-year B17001 (verified)</w:t>
            </w:r>
          </w:p>
        </w:tc>
      </w:tr>
      <w:tr>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Median household income</w:t>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$59,781</w:t>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U.S. Census ACS 5-year B19013 (verified)</w:t>
            </w:r>
          </w:p>
        </w:tc>
      </w:tr>
      <w:tr>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Health-burden composite</w:t>
            </w:r>
          </w:p>
        </w:tc>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26 composite (0-1)</w:t>
            </w:r>
          </w:p>
        </w:tc>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CDC PLACES (verified)</w:t>
            </w:r>
          </w:p>
        </w:tc>
      </w:tr>
      <w:tr>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Unemployment rate</w:t>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4.4 %</w:t>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BLS LAUS (via gis-engine) (verified)</w:t>
            </w:r>
          </w:p>
        </w:tc>
      </w:tr>
      <w:tr>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Food access (federal Food Access Research Atlas)</w:t>
            </w:r>
          </w:p>
        </w:tc>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Not yet verified (source: USDA Food Access Research Atlas (via gis-engine))</w:t>
            </w:r>
          </w:p>
        </w:tc>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USDA Food Access Research Atlas (via gis-engine) (unverified)</w:t>
            </w:r>
          </w:p>
        </w:tc>
      </w:tr>
      <w:tr>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Social Vulnerability Index percentile</w:t>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Not yet verified (source: CDC SVI)</w:t>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CDC SVI (unverified)</w:t>
            </w:r>
          </w:p>
        </w:tc>
      </w:tr>
    </w:tbl>
    <w:p>
      <w:pPr>
        <w:pStyle w:val="Heading3"/>
        <w:spacing w:after="80" w:before="220"/>
      </w:pPr>
      <w:r>
        <w:rPr>
          <w:b/>
          <w:bCs/>
          <w:color w:val="1F3A5F"/>
          <w:sz w:val="24"/>
          <w:szCs w:val="24"/>
        </w:rPr>
        <w:t xml:space="preserve">The fatherhood and mentorship gap (verified Census + derived)</w:t>
      </w:r>
    </w:p>
    <w:p>
      <w:pPr>
        <w:spacing w:after="60" w:before="60"/>
      </w:pPr>
      <w:r>
        <w:rPr>
          <w:sz w:val="22"/>
          <w:szCs w:val="22"/>
        </w:rPr>
        <w:t xml:space="preserve">These numbers are the foundation of the corridor case. Each one cites the specific U.S. Census American Community Survey table, the year, and (where applicable) the percentage applied to derive the estimate.</w:t>
      </w:r>
    </w:p>
    <w:tbl>
      <w:tblPr>
        <w:tblW w:type="dxa" w:w="90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tcW w:type="dxa" w:w="3000"/>
            <w:tcBorders>
              <w:top w:val="single" w:color="CCCCCC" w:sz="4"/>
              <w:left w:val="single" w:color="CCCCCC" w:sz="4"/>
              <w:bottom w:val="single" w:color="CCCCCC" w:sz="4"/>
              <w:right w:val="single" w:color="CCCCCC" w:sz="4"/>
            </w:tcBorders>
            <w:shd w:fill="1F3A5F"/>
          </w:tcPr>
          <w:p>
            <w:pPr>
              <w:spacing w:after="30" w:before="30"/>
            </w:pPr>
            <w:r>
              <w:rPr>
                <w:b/>
                <w:bCs/>
                <w:color w:val="FFFFFF"/>
                <w:sz w:val="20"/>
                <w:szCs w:val="20"/>
              </w:rPr>
              <w:t xml:space="preserve">Measure</w:t>
            </w:r>
          </w:p>
        </w:tc>
        <w:tc>
          <w:tcPr>
            <w:tcW w:type="dxa" w:w="3000"/>
            <w:tcBorders>
              <w:top w:val="single" w:color="CCCCCC" w:sz="4"/>
              <w:left w:val="single" w:color="CCCCCC" w:sz="4"/>
              <w:bottom w:val="single" w:color="CCCCCC" w:sz="4"/>
              <w:right w:val="single" w:color="CCCCCC" w:sz="4"/>
            </w:tcBorders>
            <w:shd w:fill="1F3A5F"/>
          </w:tcPr>
          <w:p>
            <w:pPr>
              <w:spacing w:after="30" w:before="30"/>
            </w:pPr>
            <w:r>
              <w:rPr>
                <w:b/>
                <w:bCs/>
                <w:color w:val="FFFFFF"/>
                <w:sz w:val="20"/>
                <w:szCs w:val="20"/>
              </w:rPr>
              <w:t xml:space="preserve">Value</w:t>
            </w:r>
          </w:p>
        </w:tc>
        <w:tc>
          <w:tcPr>
            <w:tcW w:type="dxa" w:w="3000"/>
            <w:tcBorders>
              <w:top w:val="single" w:color="CCCCCC" w:sz="4"/>
              <w:left w:val="single" w:color="CCCCCC" w:sz="4"/>
              <w:bottom w:val="single" w:color="CCCCCC" w:sz="4"/>
              <w:right w:val="single" w:color="CCCCCC" w:sz="4"/>
            </w:tcBorders>
            <w:shd w:fill="1F3A5F"/>
          </w:tcPr>
          <w:p>
            <w:pPr>
              <w:spacing w:after="30" w:before="30"/>
            </w:pPr>
            <w:r>
              <w:rPr>
                <w:b/>
                <w:bCs/>
                <w:color w:val="FFFFFF"/>
                <w:sz w:val="20"/>
                <w:szCs w:val="20"/>
              </w:rPr>
              <w:t xml:space="preserve">How it was derived</w:t>
            </w:r>
          </w:p>
        </w:tc>
      </w:tr>
      <w:tr>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Black population (county)</w:t>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36,801</w:t>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CHAIN STEP 2 · Cites step 1 (total_population). Direct Census API call for Black alone total (14.1% of verified total 261,090).</w:t>
            </w:r>
          </w:p>
        </w:tc>
      </w:tr>
      <w:tr>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Black children in single-parent households</w:t>
            </w:r>
          </w:p>
        </w:tc>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5,619 children</w:t>
            </w:r>
          </w:p>
        </w:tc>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verified_black_children_017 (10,217, Census ACS B01001B) × 55% single-parent share</w:t>
            </w:r>
          </w:p>
        </w:tc>
      </w:tr>
      <w:tr>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Disconnected Black youth (ages 16–24, not in work or school)</w:t>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927 youth 16-24</w:t>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verified_black_youth_18_24 (5,152, Census ACS B01001B) × 18% Black disconnection rate (TX statewide)</w:t>
            </w:r>
          </w:p>
        </w:tc>
      </w:tr>
      <w:tr>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Black-male mentors needed (mentor gap)</w:t>
            </w:r>
          </w:p>
        </w:tc>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1,236 Black-male mentors needed</w:t>
            </w:r>
          </w:p>
        </w:tc>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black_children_single_parent × 22% active mentor demand</w:t>
            </w:r>
          </w:p>
        </w:tc>
      </w:tr>
      <w:tr>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Black-student discipline rate (district)</w:t>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18.4 %</w:t>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TEA TAPR 2023-24 — Waco ISD — District Discipline Action Group (District-level summary) (verified)</w:t>
            </w:r>
          </w:p>
        </w:tc>
      </w:tr>
      <w:tr>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Big Brothers Big Sisters Black-boy waitlist</w:t>
            </w:r>
          </w:p>
        </w:tc>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Not yet verified (source: BBBS Lone Star intake (upload required))</w:t>
            </w:r>
          </w:p>
        </w:tc>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BBBS Lone Star intake (upload required)</w:t>
            </w:r>
          </w:p>
        </w:tc>
      </w:tr>
    </w:tbl>
    <w:p>
      <w:pPr>
        <w:pStyle w:val="Heading3"/>
        <w:spacing w:after="80" w:before="220"/>
      </w:pPr>
      <w:r>
        <w:rPr>
          <w:b/>
          <w:bCs/>
          <w:color w:val="1F3A5F"/>
          <w:sz w:val="24"/>
          <w:szCs w:val="24"/>
        </w:rPr>
        <w:t xml:space="preserve">Risk factors</w:t>
      </w:r>
    </w:p>
    <w:p>
      <w:pPr>
        <w:pStyle w:val="ListParagraph"/>
        <w:numPr>
          <w:ilvl w:val="0"/>
          <w:numId w:val="1"/>
        </w:numPr>
        <w:spacing w:after="30" w:before="30"/>
      </w:pPr>
      <w:r>
        <w:rPr>
          <w:b w:val="false"/>
          <w:bCs w:val="false"/>
          <w:sz w:val="22"/>
          <w:szCs w:val="22"/>
        </w:rPr>
        <w:t xml:space="preserve">Black poverty rate:</w:t>
      </w:r>
    </w:p>
    <w:p>
      <w:pPr>
        <w:pStyle w:val="ListParagraph"/>
        <w:numPr>
          <w:ilvl w:val="0"/>
          <w:numId w:val="1"/>
        </w:numPr>
        <w:spacing w:after="30" w:before="30"/>
      </w:pPr>
      <w:r>
        <w:rPr>
          <w:b w:val="false"/>
          <w:bCs w:val="false"/>
          <w:sz w:val="22"/>
          <w:szCs w:val="22"/>
        </w:rPr>
        <w:t xml:space="preserve">Black families single-parent share:</w:t>
      </w:r>
    </w:p>
    <w:p>
      <w:pPr>
        <w:pStyle w:val="ListParagraph"/>
        <w:numPr>
          <w:ilvl w:val="0"/>
          <w:numId w:val="1"/>
        </w:numPr>
        <w:spacing w:after="30" w:before="30"/>
      </w:pPr>
      <w:r>
        <w:rPr>
          <w:b w:val="false"/>
          <w:bCs w:val="false"/>
          <w:sz w:val="22"/>
          <w:szCs w:val="22"/>
        </w:rPr>
        <w:t xml:space="preserve">Black adults without HS diploma:</w:t>
      </w:r>
    </w:p>
    <w:p>
      <w:pPr>
        <w:pStyle w:val="ListParagraph"/>
        <w:numPr>
          <w:ilvl w:val="0"/>
          <w:numId w:val="1"/>
        </w:numPr>
        <w:spacing w:after="30" w:before="30"/>
      </w:pPr>
      <w:r>
        <w:rPr>
          <w:b w:val="false"/>
          <w:bCs w:val="false"/>
          <w:sz w:val="22"/>
          <w:szCs w:val="22"/>
        </w:rPr>
        <w:t xml:space="preserve">Social Vulnerability Index percentile:</w:t>
      </w:r>
    </w:p>
    <w:p>
      <w:pPr>
        <w:pStyle w:val="ListParagraph"/>
        <w:numPr>
          <w:ilvl w:val="0"/>
          <w:numId w:val="1"/>
        </w:numPr>
        <w:spacing w:after="30" w:before="30"/>
      </w:pPr>
      <w:r>
        <w:rPr>
          <w:b w:val="false"/>
          <w:bCs w:val="false"/>
          <w:sz w:val="22"/>
          <w:szCs w:val="22"/>
        </w:rPr>
        <w:t xml:space="preserve">Adults with frequent mental distress:</w:t>
      </w:r>
    </w:p>
    <w:p>
      <w:pPr>
        <w:pStyle w:val="ListParagraph"/>
        <w:numPr>
          <w:ilvl w:val="0"/>
          <w:numId w:val="1"/>
        </w:numPr>
        <w:spacing w:after="30" w:before="30"/>
      </w:pPr>
      <w:r>
        <w:rPr>
          <w:b w:val="false"/>
          <w:bCs w:val="false"/>
          <w:sz w:val="22"/>
          <w:szCs w:val="22"/>
        </w:rPr>
        <w:t xml:space="preserve">Depression prevalence:</w:t>
      </w:r>
    </w:p>
    <w:p>
      <w:pPr>
        <w:pStyle w:val="ListParagraph"/>
        <w:numPr>
          <w:ilvl w:val="0"/>
          <w:numId w:val="1"/>
        </w:numPr>
        <w:spacing w:after="30" w:before="30"/>
      </w:pPr>
      <w:r>
        <w:rPr>
          <w:b w:val="false"/>
          <w:bCs w:val="false"/>
          <w:sz w:val="22"/>
          <w:szCs w:val="22"/>
        </w:rPr>
        <w:t xml:space="preserve">Adults without health insurance:</w:t>
      </w:r>
    </w:p>
    <w:p>
      <w:pPr>
        <w:pStyle w:val="ListParagraph"/>
        <w:numPr>
          <w:ilvl w:val="0"/>
          <w:numId w:val="1"/>
        </w:numPr>
        <w:spacing w:after="30" w:before="30"/>
      </w:pPr>
      <w:r>
        <w:rPr>
          <w:b w:val="false"/>
          <w:bCs w:val="false"/>
          <w:sz w:val="22"/>
          <w:szCs w:val="22"/>
        </w:rPr>
        <w:t xml:space="preserve">Black student discipline rate:</w:t>
      </w:r>
    </w:p>
    <w:p>
      <w:pPr>
        <w:spacing w:after="60" w:before="60"/>
      </w:pPr>
      <w:r>
        <w:rPr>
          <w:i/>
          <w:iCs/>
          <w:color w:val="5A5A5A"/>
          <w:sz w:val="22"/>
          <w:szCs w:val="22"/>
        </w:rPr>
        <w:t xml:space="preserve">Composite risk index: Not yet verified (source: n/a)</w:t>
      </w:r>
    </w:p>
    <w:p>
      <w:pPr>
        <w:pStyle w:val="Heading3"/>
        <w:spacing w:after="80" w:before="220"/>
      </w:pPr>
      <w:r>
        <w:rPr>
          <w:b/>
          <w:bCs/>
          <w:color w:val="1F3A5F"/>
          <w:sz w:val="24"/>
          <w:szCs w:val="24"/>
        </w:rPr>
        <w:t xml:space="preserve">Protective factors (existing strengths)</w:t>
      </w:r>
    </w:p>
    <w:p>
      <w:pPr>
        <w:pStyle w:val="ListParagraph"/>
        <w:numPr>
          <w:ilvl w:val="0"/>
          <w:numId w:val="1"/>
        </w:numPr>
        <w:spacing w:after="30" w:before="30"/>
      </w:pPr>
      <w:r>
        <w:rPr>
          <w:b w:val="false"/>
          <w:bCs w:val="false"/>
          <w:sz w:val="22"/>
          <w:szCs w:val="22"/>
        </w:rPr>
        <w:t xml:space="preserve">Black adults 25+ with BA+:</w:t>
      </w:r>
    </w:p>
    <w:p>
      <w:pPr>
        <w:pStyle w:val="ListParagraph"/>
        <w:numPr>
          <w:ilvl w:val="0"/>
          <w:numId w:val="1"/>
        </w:numPr>
        <w:spacing w:after="30" w:before="30"/>
      </w:pPr>
      <w:r>
        <w:rPr>
          <w:b w:val="false"/>
          <w:bCs w:val="false"/>
          <w:sz w:val="22"/>
          <w:szCs w:val="22"/>
        </w:rPr>
        <w:t xml:space="preserve">Active community partners on file: 0</w:t>
      </w:r>
    </w:p>
    <w:p>
      <w:pPr>
        <w:pStyle w:val="ListParagraph"/>
        <w:numPr>
          <w:ilvl w:val="0"/>
          <w:numId w:val="1"/>
        </w:numPr>
        <w:spacing w:after="30" w:before="30"/>
      </w:pPr>
      <w:r>
        <w:rPr>
          <w:b w:val="false"/>
          <w:bCs w:val="false"/>
          <w:sz w:val="22"/>
          <w:szCs w:val="22"/>
        </w:rPr>
        <w:t xml:space="preserve">Partners with active MOU: 0</w:t>
      </w:r>
    </w:p>
    <w:p>
      <w:pPr>
        <w:pStyle w:val="ListParagraph"/>
        <w:numPr>
          <w:ilvl w:val="0"/>
          <w:numId w:val="1"/>
        </w:numPr>
        <w:spacing w:after="30" w:before="30"/>
      </w:pPr>
      <w:r>
        <w:rPr>
          <w:b w:val="false"/>
          <w:bCs w:val="false"/>
          <w:sz w:val="22"/>
          <w:szCs w:val="22"/>
        </w:rPr>
        <w:t xml:space="preserve">Active programs in focus ZIP 76704: 0</w:t>
      </w:r>
    </w:p>
    <w:p>
      <w:pPr>
        <w:pStyle w:val="ListParagraph"/>
        <w:numPr>
          <w:ilvl w:val="0"/>
          <w:numId w:val="1"/>
        </w:numPr>
        <w:spacing w:after="30" w:before="30"/>
      </w:pPr>
      <w:r>
        <w:rPr>
          <w:b w:val="false"/>
          <w:bCs w:val="false"/>
          <w:sz w:val="22"/>
          <w:szCs w:val="22"/>
        </w:rPr>
        <w:t xml:space="preserve">Community resource score (focus ZIP): null</w:t>
      </w:r>
    </w:p>
    <w:p>
      <w:pPr>
        <w:pStyle w:val="Heading3"/>
        <w:spacing w:after="80" w:before="220"/>
      </w:pPr>
      <w:r>
        <w:rPr>
          <w:b/>
          <w:bCs/>
          <w:color w:val="1F3A5F"/>
          <w:sz w:val="24"/>
          <w:szCs w:val="24"/>
        </w:rPr>
        <w:t xml:space="preserve">Public-safety profile</w:t>
      </w:r>
    </w:p>
    <w:tbl>
      <w:tblPr>
        <w:tblW w:type="dxa" w:w="90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tcW w:type="dxa" w:w="4500"/>
            <w:tcBorders>
              <w:top w:val="single" w:color="CCCCCC" w:sz="4"/>
              <w:left w:val="single" w:color="CCCCCC" w:sz="4"/>
              <w:bottom w:val="single" w:color="CCCCCC" w:sz="4"/>
              <w:right w:val="single" w:color="CCCCCC" w:sz="4"/>
            </w:tcBorders>
            <w:shd w:fill="1F3A5F"/>
          </w:tcPr>
          <w:p>
            <w:pPr>
              <w:spacing w:after="30" w:before="30"/>
            </w:pPr>
            <w:r>
              <w:rPr>
                <w:b/>
                <w:bCs/>
                <w:color w:val="FFFFFF"/>
                <w:sz w:val="20"/>
                <w:szCs w:val="20"/>
              </w:rPr>
              <w:t xml:space="preserve">Indicator</w:t>
            </w:r>
          </w:p>
        </w:tc>
        <w:tc>
          <w:tcPr>
            <w:tcW w:type="dxa" w:w="4500"/>
            <w:tcBorders>
              <w:top w:val="single" w:color="CCCCCC" w:sz="4"/>
              <w:left w:val="single" w:color="CCCCCC" w:sz="4"/>
              <w:bottom w:val="single" w:color="CCCCCC" w:sz="4"/>
              <w:right w:val="single" w:color="CCCCCC" w:sz="4"/>
            </w:tcBorders>
            <w:shd w:fill="1F3A5F"/>
          </w:tcPr>
          <w:p>
            <w:pPr>
              <w:spacing w:after="30" w:before="30"/>
            </w:pPr>
            <w:r>
              <w:rPr>
                <w:b/>
                <w:bCs/>
                <w:color w:val="FFFFFF"/>
                <w:sz w:val="20"/>
                <w:szCs w:val="20"/>
              </w:rPr>
              <w:t xml:space="preserve">Value</w:t>
            </w:r>
          </w:p>
        </w:tc>
      </w:tr>
      <w:tr>
        <w:tc>
          <w:tcPr>
            <w:tcW w:type="dxa" w:w="4500"/>
            <w:tcBorders>
              <w:top w:val="single" w:color="CCCCCC" w:sz="4"/>
              <w:left w:val="single" w:color="CCCCCC" w:sz="4"/>
              <w:bottom w:val="single" w:color="CCCCCC" w:sz="4"/>
              <w:right w:val="single" w:color="CCCCCC" w:sz="4"/>
            </w:tcBorders>
          </w:tcPr>
          <w:p>
            <w:pPr>
              <w:spacing w:after="30" w:before="30"/>
            </w:pPr>
            <w:r>
              <w:rPr>
                <w:sz w:val="20"/>
                <w:szCs w:val="20"/>
              </w:rPr>
              <w:t xml:space="preserve">violent</w:t>
            </w:r>
          </w:p>
        </w:tc>
        <w:tc>
          <w:tcPr>
            <w:tcW w:type="dxa" w:w="4500"/>
            <w:tcBorders>
              <w:top w:val="single" w:color="CCCCCC" w:sz="4"/>
              <w:left w:val="single" w:color="CCCCCC" w:sz="4"/>
              <w:bottom w:val="single" w:color="CCCCCC" w:sz="4"/>
              <w:right w:val="single" w:color="CCCCCC" w:sz="4"/>
            </w:tcBorders>
          </w:tcPr>
          <w:p>
            <w:pPr>
              <w:spacing w:after="30" w:before="30"/>
            </w:pPr>
            <w:r>
              <w:rPr>
                <w:sz w:val="20"/>
                <w:szCs w:val="20"/>
              </w:rPr>
              <w:t xml:space="preserve">131,177 incidents (2022, TX state total)</w:t>
            </w:r>
          </w:p>
        </w:tc>
      </w:tr>
      <w:tr>
        <w:tc>
          <w:tcPr>
            <w:tcW w:type="dxa" w:w="45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property</w:t>
            </w:r>
          </w:p>
        </w:tc>
        <w:tc>
          <w:tcPr>
            <w:tcW w:type="dxa" w:w="45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694,081 incidents (2022, TX state total)</w:t>
            </w:r>
          </w:p>
        </w:tc>
      </w:tr>
      <w:tr>
        <w:tc>
          <w:tcPr>
            <w:tcW w:type="dxa" w:w="4500"/>
            <w:tcBorders>
              <w:top w:val="single" w:color="CCCCCC" w:sz="4"/>
              <w:left w:val="single" w:color="CCCCCC" w:sz="4"/>
              <w:bottom w:val="single" w:color="CCCCCC" w:sz="4"/>
              <w:right w:val="single" w:color="CCCCCC" w:sz="4"/>
            </w:tcBorders>
          </w:tcPr>
          <w:p>
            <w:pPr>
              <w:spacing w:after="30" w:before="30"/>
            </w:pPr>
            <w:r>
              <w:rPr>
                <w:sz w:val="20"/>
                <w:szCs w:val="20"/>
              </w:rPr>
              <w:t xml:space="preserve">homicide</w:t>
            </w:r>
          </w:p>
        </w:tc>
        <w:tc>
          <w:tcPr>
            <w:tcW w:type="dxa" w:w="4500"/>
            <w:tcBorders>
              <w:top w:val="single" w:color="CCCCCC" w:sz="4"/>
              <w:left w:val="single" w:color="CCCCCC" w:sz="4"/>
              <w:bottom w:val="single" w:color="CCCCCC" w:sz="4"/>
              <w:right w:val="single" w:color="CCCCCC" w:sz="4"/>
            </w:tcBorders>
          </w:tcPr>
          <w:p>
            <w:pPr>
              <w:spacing w:after="30" w:before="30"/>
            </w:pPr>
            <w:r>
              <w:rPr>
                <w:sz w:val="20"/>
                <w:szCs w:val="20"/>
              </w:rPr>
              <w:t xml:space="preserve">2,099 incidents (2022, TX state total)</w:t>
            </w:r>
          </w:p>
        </w:tc>
      </w:tr>
      <w:tr>
        <w:tc>
          <w:tcPr>
            <w:tcW w:type="dxa" w:w="45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aggravatedAssault</w:t>
            </w:r>
          </w:p>
        </w:tc>
        <w:tc>
          <w:tcPr>
            <w:tcW w:type="dxa" w:w="45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91,655 incidents (2022, TX state total)</w:t>
            </w:r>
          </w:p>
        </w:tc>
      </w:tr>
      <w:tr>
        <w:tc>
          <w:tcPr>
            <w:tcW w:type="dxa" w:w="4500"/>
            <w:tcBorders>
              <w:top w:val="single" w:color="CCCCCC" w:sz="4"/>
              <w:left w:val="single" w:color="CCCCCC" w:sz="4"/>
              <w:bottom w:val="single" w:color="CCCCCC" w:sz="4"/>
              <w:right w:val="single" w:color="CCCCCC" w:sz="4"/>
            </w:tcBorders>
          </w:tcPr>
          <w:p>
            <w:pPr>
              <w:spacing w:after="30" w:before="30"/>
            </w:pPr>
            <w:r>
              <w:rPr>
                <w:sz w:val="20"/>
                <w:szCs w:val="20"/>
              </w:rPr>
              <w:t xml:space="preserve">robbery</w:t>
            </w:r>
          </w:p>
        </w:tc>
        <w:tc>
          <w:tcPr>
            <w:tcW w:type="dxa" w:w="4500"/>
            <w:tcBorders>
              <w:top w:val="single" w:color="CCCCCC" w:sz="4"/>
              <w:left w:val="single" w:color="CCCCCC" w:sz="4"/>
              <w:bottom w:val="single" w:color="CCCCCC" w:sz="4"/>
              <w:right w:val="single" w:color="CCCCCC" w:sz="4"/>
            </w:tcBorders>
          </w:tcPr>
          <w:p>
            <w:pPr>
              <w:spacing w:after="30" w:before="30"/>
            </w:pPr>
            <w:r>
              <w:rPr>
                <w:sz w:val="20"/>
                <w:szCs w:val="20"/>
              </w:rPr>
              <w:t xml:space="preserve">21,258 incidents (2022, TX state total)</w:t>
            </w:r>
          </w:p>
        </w:tc>
      </w:tr>
      <w:tr>
        <w:tc>
          <w:tcPr>
            <w:tcW w:type="dxa" w:w="45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burglary</w:t>
            </w:r>
          </w:p>
        </w:tc>
        <w:tc>
          <w:tcPr>
            <w:tcW w:type="dxa" w:w="45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100,873 incidents (2022, TX state total)</w:t>
            </w:r>
          </w:p>
        </w:tc>
      </w:tr>
      <w:tr>
        <w:tc>
          <w:tcPr>
            <w:tcW w:type="dxa" w:w="4500"/>
            <w:tcBorders>
              <w:top w:val="single" w:color="CCCCCC" w:sz="4"/>
              <w:left w:val="single" w:color="CCCCCC" w:sz="4"/>
              <w:bottom w:val="single" w:color="CCCCCC" w:sz="4"/>
              <w:right w:val="single" w:color="CCCCCC" w:sz="4"/>
            </w:tcBorders>
          </w:tcPr>
          <w:p>
            <w:pPr>
              <w:spacing w:after="30" w:before="30"/>
            </w:pPr>
            <w:r>
              <w:rPr>
                <w:sz w:val="20"/>
                <w:szCs w:val="20"/>
              </w:rPr>
              <w:t xml:space="preserve">focusZipCrimeIndex</w:t>
            </w:r>
          </w:p>
        </w:tc>
        <w:tc>
          <w:tcPr>
            <w:tcW w:type="dxa" w:w="4500"/>
            <w:tcBorders>
              <w:top w:val="single" w:color="CCCCCC" w:sz="4"/>
              <w:left w:val="single" w:color="CCCCCC" w:sz="4"/>
              <w:bottom w:val="single" w:color="CCCCCC" w:sz="4"/>
              <w:right w:val="single" w:color="CCCCCC" w:sz="4"/>
            </w:tcBorders>
          </w:tcPr>
          <w:p>
            <w:pPr>
              <w:spacing w:after="30" w:before="30"/>
            </w:pPr>
            <w:r>
              <w:rPr>
                <w:sz w:val="20"/>
                <w:szCs w:val="20"/>
              </w:rPr>
              <w:t xml:space="preserve">—</w:t>
            </w:r>
          </w:p>
        </w:tc>
      </w:tr>
      <w:tr>
        <w:tc>
          <w:tcPr>
            <w:tcW w:type="dxa" w:w="45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focusZipViolentRate</w:t>
            </w:r>
          </w:p>
        </w:tc>
        <w:tc>
          <w:tcPr>
            <w:tcW w:type="dxa" w:w="45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w:t>
            </w:r>
          </w:p>
        </w:tc>
      </w:tr>
      <w:tr>
        <w:tc>
          <w:tcPr>
            <w:tcW w:type="dxa" w:w="4500"/>
            <w:tcBorders>
              <w:top w:val="single" w:color="CCCCCC" w:sz="4"/>
              <w:left w:val="single" w:color="CCCCCC" w:sz="4"/>
              <w:bottom w:val="single" w:color="CCCCCC" w:sz="4"/>
              <w:right w:val="single" w:color="CCCCCC" w:sz="4"/>
            </w:tcBorders>
          </w:tcPr>
          <w:p>
            <w:pPr>
              <w:spacing w:after="30" w:before="30"/>
            </w:pPr>
            <w:r>
              <w:rPr>
                <w:sz w:val="20"/>
                <w:szCs w:val="20"/>
              </w:rPr>
              <w:t xml:space="preserve">focusZipJuvenileRate</w:t>
            </w:r>
          </w:p>
        </w:tc>
        <w:tc>
          <w:tcPr>
            <w:tcW w:type="dxa" w:w="4500"/>
            <w:tcBorders>
              <w:top w:val="single" w:color="CCCCCC" w:sz="4"/>
              <w:left w:val="single" w:color="CCCCCC" w:sz="4"/>
              <w:bottom w:val="single" w:color="CCCCCC" w:sz="4"/>
              <w:right w:val="single" w:color="CCCCCC" w:sz="4"/>
            </w:tcBorders>
          </w:tcPr>
          <w:p>
            <w:pPr>
              <w:spacing w:after="30" w:before="30"/>
            </w:pPr>
            <w:r>
              <w:rPr>
                <w:sz w:val="20"/>
                <w:szCs w:val="20"/>
              </w:rPr>
              <w:t xml:space="preserve">—</w:t>
            </w:r>
          </w:p>
        </w:tc>
      </w:tr>
    </w:tbl>
    <w:p>
      <w:pPr>
        <w:pStyle w:val="Heading3"/>
        <w:spacing w:after="80" w:before="220"/>
      </w:pPr>
      <w:r>
        <w:rPr>
          <w:b/>
          <w:bCs/>
          <w:color w:val="1F3A5F"/>
          <w:sz w:val="24"/>
          <w:szCs w:val="24"/>
        </w:rPr>
        <w:t xml:space="preserve">Root causes (what drives the gap)</w:t>
      </w:r>
    </w:p>
    <w:p>
      <w:pPr>
        <w:pStyle w:val="ListParagraph"/>
        <w:numPr>
          <w:ilvl w:val="0"/>
          <w:numId w:val="1"/>
        </w:numPr>
        <w:spacing w:after="30" w:before="30"/>
      </w:pPr>
      <w:r>
        <w:rPr>
          <w:b/>
          <w:bCs/>
          <w:sz w:val="22"/>
          <w:szCs w:val="22"/>
        </w:rPr>
        <w:t xml:space="preserve">Economic exclusion:</w:t>
      </w:r>
    </w:p>
    <w:p>
      <w:pPr>
        <w:pStyle w:val="ListParagraph"/>
        <w:numPr>
          <w:ilvl w:val="0"/>
          <w:numId w:val="1"/>
        </w:numPr>
        <w:spacing w:after="30" w:before="30"/>
      </w:pPr>
      <w:r>
        <w:rPr>
          <w:b/>
          <w:bCs/>
          <w:sz w:val="22"/>
          <w:szCs w:val="22"/>
        </w:rPr>
        <w:t xml:space="preserve">Family structure under economic stress:</w:t>
      </w:r>
    </w:p>
    <w:p>
      <w:pPr>
        <w:pStyle w:val="ListParagraph"/>
        <w:numPr>
          <w:ilvl w:val="0"/>
          <w:numId w:val="1"/>
        </w:numPr>
        <w:spacing w:after="30" w:before="30"/>
      </w:pPr>
      <w:r>
        <w:rPr>
          <w:b/>
          <w:bCs/>
          <w:sz w:val="22"/>
          <w:szCs w:val="22"/>
        </w:rPr>
        <w:t xml:space="preserve">Education-to-opportunity gap:</w:t>
      </w:r>
    </w:p>
    <w:p>
      <w:pPr>
        <w:pStyle w:val="ListParagraph"/>
        <w:numPr>
          <w:ilvl w:val="0"/>
          <w:numId w:val="1"/>
        </w:numPr>
        <w:spacing w:after="30" w:before="30"/>
      </w:pPr>
      <w:r>
        <w:rPr>
          <w:b/>
          <w:bCs/>
          <w:sz w:val="22"/>
          <w:szCs w:val="22"/>
        </w:rPr>
        <w:t xml:space="preserve">Compounded neighborhood pressure:</w:t>
      </w:r>
    </w:p>
    <w:p>
      <w:pPr>
        <w:pStyle w:val="ListParagraph"/>
        <w:numPr>
          <w:ilvl w:val="0"/>
          <w:numId w:val="1"/>
        </w:numPr>
        <w:spacing w:after="30" w:before="30"/>
      </w:pPr>
      <w:r>
        <w:rPr>
          <w:b/>
          <w:bCs/>
          <w:sz w:val="22"/>
          <w:szCs w:val="22"/>
        </w:rPr>
        <w:t xml:space="preserve">Untreated mental-health burden:</w:t>
      </w:r>
    </w:p>
    <w:p>
      <w:pPr>
        <w:pStyle w:val="ListParagraph"/>
        <w:numPr>
          <w:ilvl w:val="0"/>
          <w:numId w:val="1"/>
        </w:numPr>
        <w:spacing w:after="30" w:before="30"/>
      </w:pPr>
      <w:r>
        <w:rPr>
          <w:b/>
          <w:bCs/>
          <w:sz w:val="22"/>
          <w:szCs w:val="22"/>
        </w:rPr>
        <w:t xml:space="preserve">School-to-justice-system pipeline:</w:t>
      </w:r>
    </w:p>
    <w:p>
      <w:pPr>
        <w:pStyle w:val="Heading3"/>
        <w:spacing w:after="80" w:before="220"/>
      </w:pPr>
      <w:r>
        <w:rPr>
          <w:b/>
          <w:bCs/>
          <w:color w:val="1F3A5F"/>
          <w:sz w:val="24"/>
          <w:szCs w:val="24"/>
        </w:rPr>
        <w:t xml:space="preserve">Recommended solutions</w:t>
      </w:r>
    </w:p>
    <w:p>
      <w:pPr>
        <w:pStyle w:val="ListParagraph"/>
        <w:numPr>
          <w:ilvl w:val="0"/>
          <w:numId w:val="1"/>
        </w:numPr>
        <w:spacing w:after="30" w:before="30"/>
      </w:pPr>
      <w:r>
        <w:rPr>
          <w:b w:val="false"/>
          <w:bCs w:val="false"/>
          <w:sz w:val="22"/>
          <w:szCs w:val="22"/>
        </w:rPr>
        <w:t xml:space="preserve"/>
      </w:r>
    </w:p>
    <w:p>
      <w:pPr>
        <w:pStyle w:val="ListParagraph"/>
        <w:numPr>
          <w:ilvl w:val="0"/>
          <w:numId w:val="1"/>
        </w:numPr>
        <w:spacing w:after="30" w:before="30"/>
      </w:pPr>
      <w:r>
        <w:rPr>
          <w:b w:val="false"/>
          <w:bCs w:val="false"/>
          <w:sz w:val="22"/>
          <w:szCs w:val="22"/>
        </w:rPr>
        <w:t xml:space="preserve"/>
      </w:r>
    </w:p>
    <w:p>
      <w:pPr>
        <w:pStyle w:val="ListParagraph"/>
        <w:numPr>
          <w:ilvl w:val="0"/>
          <w:numId w:val="1"/>
        </w:numPr>
        <w:spacing w:after="30" w:before="30"/>
      </w:pPr>
      <w:r>
        <w:rPr>
          <w:b w:val="false"/>
          <w:bCs w:val="false"/>
          <w:sz w:val="22"/>
          <w:szCs w:val="22"/>
        </w:rPr>
        <w:t xml:space="preserve"/>
      </w:r>
    </w:p>
    <w:p>
      <w:pPr>
        <w:pStyle w:val="ListParagraph"/>
        <w:numPr>
          <w:ilvl w:val="0"/>
          <w:numId w:val="1"/>
        </w:numPr>
        <w:spacing w:after="30" w:before="30"/>
      </w:pPr>
      <w:r>
        <w:rPr>
          <w:b w:val="false"/>
          <w:bCs w:val="false"/>
          <w:sz w:val="22"/>
          <w:szCs w:val="22"/>
        </w:rPr>
        <w:t xml:space="preserve"/>
      </w:r>
    </w:p>
    <w:p>
      <w:pPr>
        <w:pStyle w:val="ListParagraph"/>
        <w:numPr>
          <w:ilvl w:val="0"/>
          <w:numId w:val="1"/>
        </w:numPr>
        <w:spacing w:after="30" w:before="30"/>
      </w:pPr>
      <w:r>
        <w:rPr>
          <w:b w:val="false"/>
          <w:bCs w:val="false"/>
          <w:sz w:val="22"/>
          <w:szCs w:val="22"/>
        </w:rPr>
        <w:t xml:space="preserve"/>
      </w:r>
    </w:p>
    <w:p>
      <w:pPr>
        <w:pStyle w:val="Heading3"/>
        <w:spacing w:after="80" w:before="220"/>
      </w:pPr>
      <w:r>
        <w:rPr>
          <w:b/>
          <w:bCs/>
          <w:color w:val="1F3A5F"/>
          <w:sz w:val="24"/>
          <w:szCs w:val="24"/>
        </w:rPr>
        <w:t xml:space="preserve">Chain-of-evidence story for this metro</w:t>
      </w:r>
    </w:p>
    <w:p>
      <w:pPr>
        <w:spacing w:after="60" w:before="60"/>
      </w:pPr>
      <w:r>
        <w:rPr>
          <w:sz w:val="22"/>
          <w:szCs w:val="22"/>
        </w:rPr>
        <w:t xml:space="preserve">Each step below depends on the verified data step before it — no link in the chain is unsupported.</w:t>
      </w:r>
    </w:p>
    <w:p>
      <w:pPr>
        <w:pStyle w:val="ListParagraph"/>
        <w:numPr>
          <w:ilvl w:val="0"/>
          <w:numId w:val="1"/>
        </w:numPr>
        <w:spacing w:after="30" w:before="30"/>
      </w:pPr>
      <w:r>
        <w:rPr>
          <w:b w:val="false"/>
          <w:bCs w:val="false"/>
          <w:sz w:val="22"/>
          <w:szCs w:val="22"/>
        </w:rPr>
        <w:t xml:space="preserve">Waco / McLennan County (need is concentrated in one neighborhood). Population: 261,090. Poverty rate: 17.2%. Median household income: $59,781.</w:t>
      </w:r>
    </w:p>
    <w:p>
      <w:pPr>
        <w:pStyle w:val="ListParagraph"/>
        <w:numPr>
          <w:ilvl w:val="0"/>
          <w:numId w:val="1"/>
        </w:numPr>
        <w:spacing w:after="30" w:before="30"/>
      </w:pPr>
      <w:r>
        <w:rPr>
          <w:b w:val="false"/>
          <w:bCs w:val="false"/>
          <w:sz w:val="22"/>
          <w:szCs w:val="22"/>
        </w:rPr>
        <w:t xml:space="preserve">Neighborhood-pressure profile: Social Vulnerability Index ranks at the — percentile nationally (the higher the number, the more pressure on the community). Overall health burden score: 26.32 on a 0-to-1 scale. Federal food-desert flag (U.S. Department of Agriculture): —. Unemployment: 4.4%.</w:t>
      </w:r>
    </w:p>
    <w:p>
      <w:pPr>
        <w:pStyle w:val="ListParagraph"/>
        <w:numPr>
          <w:ilvl w:val="0"/>
          <w:numId w:val="1"/>
        </w:numPr>
        <w:spacing w:after="30" w:before="30"/>
      </w:pPr>
      <w:r>
        <w:rPr>
          <w:b w:val="false"/>
          <w:bCs w:val="false"/>
          <w:sz w:val="22"/>
          <w:szCs w:val="22"/>
        </w:rPr>
        <w:t xml:space="preserve">Focus ZIP code 76704: activity hotspot level — —; juvenile-justice referral rate — —; high-school dropout rate — —; mental-health-care access score — —.</w:t>
      </w:r>
    </w:p>
    <w:p>
      <w:pPr>
        <w:pStyle w:val="ListParagraph"/>
        <w:numPr>
          <w:ilvl w:val="0"/>
          <w:numId w:val="1"/>
        </w:numPr>
        <w:spacing w:after="30" w:before="30"/>
      </w:pPr>
      <w:r>
        <w:rPr>
          <w:b w:val="false"/>
          <w:bCs w:val="false"/>
          <w:sz w:val="22"/>
          <w:szCs w:val="22"/>
        </w:rPr>
        <w:t xml:space="preserve">Fatherhood and mentorship gap (modeled from verified U.S. Census data): roughly 5,619 Black children in single-parent households → roughly 1,236 Black-male mentors needed → roughly 927 young adults (ages 16–24) currently disconnected from both school and work.</w:t>
      </w:r>
    </w:p>
    <w:p>
      <w:pPr>
        <w:pStyle w:val="ListParagraph"/>
        <w:numPr>
          <w:ilvl w:val="0"/>
          <w:numId w:val="1"/>
        </w:numPr>
        <w:spacing w:after="30" w:before="30"/>
      </w:pPr>
      <w:r>
        <w:rPr>
          <w:b w:val="false"/>
          <w:bCs w:val="false"/>
          <w:sz w:val="22"/>
          <w:szCs w:val="22"/>
        </w:rPr>
        <w:t xml:space="preserve">0 community partner organizations on file in this city; 0 active programs in the focus ZIP code.</w:t>
      </w:r>
    </w:p>
    <w:p>
      <w:pPr>
        <w:pStyle w:val="Heading2"/>
        <w:spacing w:after="120" w:before="320"/>
      </w:pPr>
      <w:r>
        <w:rPr>
          <w:b/>
          <w:bCs/>
          <w:color w:val="1F3A5F"/>
          <w:sz w:val="28"/>
          <w:szCs w:val="28"/>
        </w:rPr>
        <w:t xml:space="preserve">Deep dive — Austin / Travis County</w:t>
      </w:r>
    </w:p>
    <w:p>
      <w:pPr>
        <w:spacing w:after="60" w:before="60"/>
      </w:pPr>
      <w:r>
        <w:rPr>
          <w:i/>
          <w:iCs/>
          <w:color w:val="5A5A5A"/>
          <w:sz w:val="22"/>
          <w:szCs w:val="22"/>
        </w:rPr>
        <w:t xml:space="preserve">School district(s): Austin Independent School District plus Manor, Del Valle, and Pflugerville school districts</w:t>
      </w:r>
    </w:p>
    <w:p>
      <w:pPr>
        <w:spacing w:after="60" w:before="60"/>
      </w:pPr>
      <w:r>
        <w:rPr>
          <w:i/>
          <w:iCs/>
          <w:color w:val="5A5A5A"/>
          <w:sz w:val="22"/>
          <w:szCs w:val="22"/>
        </w:rPr>
        <w:t xml:space="preserve">Anchor ZIP codes: 78702, 78721, 78723, 78724, 78725, 78617 (focus ZIP: 78721)</w:t>
      </w:r>
    </w:p>
    <w:p>
      <w:pPr>
        <w:spacing w:after="60" w:before="60"/>
      </w:pPr>
      <w:r>
        <w:rPr>
          <w:i/>
          <w:iCs/>
          <w:color w:val="5A5A5A"/>
          <w:sz w:val="22"/>
          <w:szCs w:val="22"/>
        </w:rPr>
        <w:t xml:space="preserve">Geographic character: dispersed — the Black community is dispersed across many ZIP codes.</w:t>
      </w:r>
    </w:p>
    <w:p>
      <w:pPr>
        <w:spacing w:after="60" w:before="60"/>
      </w:pPr>
      <w:r>
        <w:rPr>
          <w:sz w:val="22"/>
          <w:szCs w:val="22"/>
        </w:rPr>
        <w:t xml:space="preserve"/>
      </w:r>
    </w:p>
    <w:p>
      <w:pPr>
        <w:pStyle w:val="Heading3"/>
        <w:spacing w:after="80" w:before="220"/>
      </w:pPr>
      <w:r>
        <w:rPr>
          <w:b/>
          <w:bCs/>
          <w:color w:val="1F3A5F"/>
          <w:sz w:val="24"/>
          <w:szCs w:val="24"/>
        </w:rPr>
        <w:t xml:space="preserve">Population &amp; community-condition baseline</w:t>
      </w:r>
    </w:p>
    <w:tbl>
      <w:tblPr>
        <w:tblW w:type="dxa" w:w="90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tcW w:type="dxa" w:w="3000"/>
            <w:tcBorders>
              <w:top w:val="single" w:color="CCCCCC" w:sz="4"/>
              <w:left w:val="single" w:color="CCCCCC" w:sz="4"/>
              <w:bottom w:val="single" w:color="CCCCCC" w:sz="4"/>
              <w:right w:val="single" w:color="CCCCCC" w:sz="4"/>
            </w:tcBorders>
            <w:shd w:fill="1F3A5F"/>
          </w:tcPr>
          <w:p>
            <w:pPr>
              <w:spacing w:after="30" w:before="30"/>
            </w:pPr>
            <w:r>
              <w:rPr>
                <w:b/>
                <w:bCs/>
                <w:color w:val="FFFFFF"/>
                <w:sz w:val="20"/>
                <w:szCs w:val="20"/>
              </w:rPr>
              <w:t xml:space="preserve">Measure</w:t>
            </w:r>
          </w:p>
        </w:tc>
        <w:tc>
          <w:tcPr>
            <w:tcW w:type="dxa" w:w="3000"/>
            <w:tcBorders>
              <w:top w:val="single" w:color="CCCCCC" w:sz="4"/>
              <w:left w:val="single" w:color="CCCCCC" w:sz="4"/>
              <w:bottom w:val="single" w:color="CCCCCC" w:sz="4"/>
              <w:right w:val="single" w:color="CCCCCC" w:sz="4"/>
            </w:tcBorders>
            <w:shd w:fill="1F3A5F"/>
          </w:tcPr>
          <w:p>
            <w:pPr>
              <w:spacing w:after="30" w:before="30"/>
            </w:pPr>
            <w:r>
              <w:rPr>
                <w:b/>
                <w:bCs/>
                <w:color w:val="FFFFFF"/>
                <w:sz w:val="20"/>
                <w:szCs w:val="20"/>
              </w:rPr>
              <w:t xml:space="preserve">Value</w:t>
            </w:r>
          </w:p>
        </w:tc>
        <w:tc>
          <w:tcPr>
            <w:tcW w:type="dxa" w:w="3000"/>
            <w:tcBorders>
              <w:top w:val="single" w:color="CCCCCC" w:sz="4"/>
              <w:left w:val="single" w:color="CCCCCC" w:sz="4"/>
              <w:bottom w:val="single" w:color="CCCCCC" w:sz="4"/>
              <w:right w:val="single" w:color="CCCCCC" w:sz="4"/>
            </w:tcBorders>
            <w:shd w:fill="1F3A5F"/>
          </w:tcPr>
          <w:p>
            <w:pPr>
              <w:spacing w:after="30" w:before="30"/>
            </w:pPr>
            <w:r>
              <w:rPr>
                <w:b/>
                <w:bCs/>
                <w:color w:val="FFFFFF"/>
                <w:sz w:val="20"/>
                <w:szCs w:val="20"/>
              </w:rPr>
              <w:t xml:space="preserve">Source / confidence</w:t>
            </w:r>
          </w:p>
        </w:tc>
      </w:tr>
      <w:tr>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Total county population</w:t>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1,289,054</w:t>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U.S. Census ACS 5-year (via gis-engine) (verified)</w:t>
            </w:r>
          </w:p>
        </w:tc>
      </w:tr>
      <w:tr>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Poverty rate</w:t>
            </w:r>
          </w:p>
        </w:tc>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11.1 %</w:t>
            </w:r>
          </w:p>
        </w:tc>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U.S. Census ACS 5-year B17001 (verified)</w:t>
            </w:r>
          </w:p>
        </w:tc>
      </w:tr>
      <w:tr>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Median household income</w:t>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$92,731</w:t>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U.S. Census ACS 5-year B19013 (verified)</w:t>
            </w:r>
          </w:p>
        </w:tc>
      </w:tr>
      <w:tr>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Health-burden composite</w:t>
            </w:r>
          </w:p>
        </w:tc>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21 composite (0-1)</w:t>
            </w:r>
          </w:p>
        </w:tc>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CDC PLACES (verified)</w:t>
            </w:r>
          </w:p>
        </w:tc>
      </w:tr>
      <w:tr>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Unemployment rate</w:t>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4.2 %</w:t>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BLS LAUS (via gis-engine) (verified)</w:t>
            </w:r>
          </w:p>
        </w:tc>
      </w:tr>
      <w:tr>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Food access (federal Food Access Research Atlas)</w:t>
            </w:r>
          </w:p>
        </w:tc>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Not yet verified (source: USDA Food Access Research Atlas (via gis-engine))</w:t>
            </w:r>
          </w:p>
        </w:tc>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USDA Food Access Research Atlas (via gis-engine) (unverified)</w:t>
            </w:r>
          </w:p>
        </w:tc>
      </w:tr>
      <w:tr>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Social Vulnerability Index percentile</w:t>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Not yet verified (source: CDC SVI)</w:t>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CDC SVI (unverified)</w:t>
            </w:r>
          </w:p>
        </w:tc>
      </w:tr>
    </w:tbl>
    <w:p>
      <w:pPr>
        <w:pStyle w:val="Heading3"/>
        <w:spacing w:after="80" w:before="220"/>
      </w:pPr>
      <w:r>
        <w:rPr>
          <w:b/>
          <w:bCs/>
          <w:color w:val="1F3A5F"/>
          <w:sz w:val="24"/>
          <w:szCs w:val="24"/>
        </w:rPr>
        <w:t xml:space="preserve">The fatherhood and mentorship gap (verified Census + derived)</w:t>
      </w:r>
    </w:p>
    <w:p>
      <w:pPr>
        <w:spacing w:after="60" w:before="60"/>
      </w:pPr>
      <w:r>
        <w:rPr>
          <w:sz w:val="22"/>
          <w:szCs w:val="22"/>
        </w:rPr>
        <w:t xml:space="preserve">These numbers are the foundation of the corridor case. Each one cites the specific U.S. Census American Community Survey table, the year, and (where applicable) the percentage applied to derive the estimate.</w:t>
      </w:r>
    </w:p>
    <w:tbl>
      <w:tblPr>
        <w:tblW w:type="dxa" w:w="90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tcW w:type="dxa" w:w="3000"/>
            <w:tcBorders>
              <w:top w:val="single" w:color="CCCCCC" w:sz="4"/>
              <w:left w:val="single" w:color="CCCCCC" w:sz="4"/>
              <w:bottom w:val="single" w:color="CCCCCC" w:sz="4"/>
              <w:right w:val="single" w:color="CCCCCC" w:sz="4"/>
            </w:tcBorders>
            <w:shd w:fill="1F3A5F"/>
          </w:tcPr>
          <w:p>
            <w:pPr>
              <w:spacing w:after="30" w:before="30"/>
            </w:pPr>
            <w:r>
              <w:rPr>
                <w:b/>
                <w:bCs/>
                <w:color w:val="FFFFFF"/>
                <w:sz w:val="20"/>
                <w:szCs w:val="20"/>
              </w:rPr>
              <w:t xml:space="preserve">Measure</w:t>
            </w:r>
          </w:p>
        </w:tc>
        <w:tc>
          <w:tcPr>
            <w:tcW w:type="dxa" w:w="3000"/>
            <w:tcBorders>
              <w:top w:val="single" w:color="CCCCCC" w:sz="4"/>
              <w:left w:val="single" w:color="CCCCCC" w:sz="4"/>
              <w:bottom w:val="single" w:color="CCCCCC" w:sz="4"/>
              <w:right w:val="single" w:color="CCCCCC" w:sz="4"/>
            </w:tcBorders>
            <w:shd w:fill="1F3A5F"/>
          </w:tcPr>
          <w:p>
            <w:pPr>
              <w:spacing w:after="30" w:before="30"/>
            </w:pPr>
            <w:r>
              <w:rPr>
                <w:b/>
                <w:bCs/>
                <w:color w:val="FFFFFF"/>
                <w:sz w:val="20"/>
                <w:szCs w:val="20"/>
              </w:rPr>
              <w:t xml:space="preserve">Value</w:t>
            </w:r>
          </w:p>
        </w:tc>
        <w:tc>
          <w:tcPr>
            <w:tcW w:type="dxa" w:w="3000"/>
            <w:tcBorders>
              <w:top w:val="single" w:color="CCCCCC" w:sz="4"/>
              <w:left w:val="single" w:color="CCCCCC" w:sz="4"/>
              <w:bottom w:val="single" w:color="CCCCCC" w:sz="4"/>
              <w:right w:val="single" w:color="CCCCCC" w:sz="4"/>
            </w:tcBorders>
            <w:shd w:fill="1F3A5F"/>
          </w:tcPr>
          <w:p>
            <w:pPr>
              <w:spacing w:after="30" w:before="30"/>
            </w:pPr>
            <w:r>
              <w:rPr>
                <w:b/>
                <w:bCs/>
                <w:color w:val="FFFFFF"/>
                <w:sz w:val="20"/>
                <w:szCs w:val="20"/>
              </w:rPr>
              <w:t xml:space="preserve">How it was derived</w:t>
            </w:r>
          </w:p>
        </w:tc>
      </w:tr>
      <w:tr>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Black population (county)</w:t>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107,055</w:t>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CHAIN STEP 2 · Cites step 1 (total_population). Direct Census API call for Black alone total (8.3% of verified total 1,289,054).</w:t>
            </w:r>
          </w:p>
        </w:tc>
      </w:tr>
      <w:tr>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Black children in single-parent households</w:t>
            </w:r>
          </w:p>
        </w:tc>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12,498 children</w:t>
            </w:r>
          </w:p>
        </w:tc>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verified_black_children_017 (22,723, Census ACS B01001B) × 55% single-parent share</w:t>
            </w:r>
          </w:p>
        </w:tc>
      </w:tr>
      <w:tr>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Disconnected Black youth (ages 16–24, not in work or school)</w:t>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2,039 youth 16-24</w:t>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verified_black_youth_18_24 (11,326, Census ACS B01001B) × 18% Black disconnection rate (TX statewide)</w:t>
            </w:r>
          </w:p>
        </w:tc>
      </w:tr>
      <w:tr>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Black-male mentors needed (mentor gap)</w:t>
            </w:r>
          </w:p>
        </w:tc>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2,750 Black-male mentors needed</w:t>
            </w:r>
          </w:p>
        </w:tc>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black_children_single_parent × 22% active mentor demand</w:t>
            </w:r>
          </w:p>
        </w:tc>
      </w:tr>
      <w:tr>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Black-student discipline rate (district)</w:t>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Not yet verified (source: TEA TAPR (upload required))</w:t>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TEA TAPR (upload required) (unverified)</w:t>
            </w:r>
          </w:p>
        </w:tc>
      </w:tr>
      <w:tr>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Big Brothers Big Sisters Black-boy waitlist</w:t>
            </w:r>
          </w:p>
        </w:tc>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Not yet verified (source: BBBS Lone Star intake (upload required))</w:t>
            </w:r>
          </w:p>
        </w:tc>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BBBS Lone Star intake (upload required)</w:t>
            </w:r>
          </w:p>
        </w:tc>
      </w:tr>
    </w:tbl>
    <w:p>
      <w:pPr>
        <w:pStyle w:val="Heading3"/>
        <w:spacing w:after="80" w:before="220"/>
      </w:pPr>
      <w:r>
        <w:rPr>
          <w:b/>
          <w:bCs/>
          <w:color w:val="1F3A5F"/>
          <w:sz w:val="24"/>
          <w:szCs w:val="24"/>
        </w:rPr>
        <w:t xml:space="preserve">Risk factors</w:t>
      </w:r>
    </w:p>
    <w:p>
      <w:pPr>
        <w:pStyle w:val="ListParagraph"/>
        <w:numPr>
          <w:ilvl w:val="0"/>
          <w:numId w:val="1"/>
        </w:numPr>
        <w:spacing w:after="30" w:before="30"/>
      </w:pPr>
      <w:r>
        <w:rPr>
          <w:b w:val="false"/>
          <w:bCs w:val="false"/>
          <w:sz w:val="22"/>
          <w:szCs w:val="22"/>
        </w:rPr>
        <w:t xml:space="preserve">Black poverty rate:</w:t>
      </w:r>
    </w:p>
    <w:p>
      <w:pPr>
        <w:pStyle w:val="ListParagraph"/>
        <w:numPr>
          <w:ilvl w:val="0"/>
          <w:numId w:val="1"/>
        </w:numPr>
        <w:spacing w:after="30" w:before="30"/>
      </w:pPr>
      <w:r>
        <w:rPr>
          <w:b w:val="false"/>
          <w:bCs w:val="false"/>
          <w:sz w:val="22"/>
          <w:szCs w:val="22"/>
        </w:rPr>
        <w:t xml:space="preserve">Black families single-parent share:</w:t>
      </w:r>
    </w:p>
    <w:p>
      <w:pPr>
        <w:pStyle w:val="ListParagraph"/>
        <w:numPr>
          <w:ilvl w:val="0"/>
          <w:numId w:val="1"/>
        </w:numPr>
        <w:spacing w:after="30" w:before="30"/>
      </w:pPr>
      <w:r>
        <w:rPr>
          <w:b w:val="false"/>
          <w:bCs w:val="false"/>
          <w:sz w:val="22"/>
          <w:szCs w:val="22"/>
        </w:rPr>
        <w:t xml:space="preserve">Black adults without HS diploma:</w:t>
      </w:r>
    </w:p>
    <w:p>
      <w:pPr>
        <w:pStyle w:val="ListParagraph"/>
        <w:numPr>
          <w:ilvl w:val="0"/>
          <w:numId w:val="1"/>
        </w:numPr>
        <w:spacing w:after="30" w:before="30"/>
      </w:pPr>
      <w:r>
        <w:rPr>
          <w:b w:val="false"/>
          <w:bCs w:val="false"/>
          <w:sz w:val="22"/>
          <w:szCs w:val="22"/>
        </w:rPr>
        <w:t xml:space="preserve">Social Vulnerability Index percentile:</w:t>
      </w:r>
    </w:p>
    <w:p>
      <w:pPr>
        <w:pStyle w:val="ListParagraph"/>
        <w:numPr>
          <w:ilvl w:val="0"/>
          <w:numId w:val="1"/>
        </w:numPr>
        <w:spacing w:after="30" w:before="30"/>
      </w:pPr>
      <w:r>
        <w:rPr>
          <w:b w:val="false"/>
          <w:bCs w:val="false"/>
          <w:sz w:val="22"/>
          <w:szCs w:val="22"/>
        </w:rPr>
        <w:t xml:space="preserve">Adults with frequent mental distress:</w:t>
      </w:r>
    </w:p>
    <w:p>
      <w:pPr>
        <w:pStyle w:val="ListParagraph"/>
        <w:numPr>
          <w:ilvl w:val="0"/>
          <w:numId w:val="1"/>
        </w:numPr>
        <w:spacing w:after="30" w:before="30"/>
      </w:pPr>
      <w:r>
        <w:rPr>
          <w:b w:val="false"/>
          <w:bCs w:val="false"/>
          <w:sz w:val="22"/>
          <w:szCs w:val="22"/>
        </w:rPr>
        <w:t xml:space="preserve">Depression prevalence:</w:t>
      </w:r>
    </w:p>
    <w:p>
      <w:pPr>
        <w:pStyle w:val="ListParagraph"/>
        <w:numPr>
          <w:ilvl w:val="0"/>
          <w:numId w:val="1"/>
        </w:numPr>
        <w:spacing w:after="30" w:before="30"/>
      </w:pPr>
      <w:r>
        <w:rPr>
          <w:b w:val="false"/>
          <w:bCs w:val="false"/>
          <w:sz w:val="22"/>
          <w:szCs w:val="22"/>
        </w:rPr>
        <w:t xml:space="preserve">Adults without health insurance:</w:t>
      </w:r>
    </w:p>
    <w:p>
      <w:pPr>
        <w:pStyle w:val="ListParagraph"/>
        <w:numPr>
          <w:ilvl w:val="0"/>
          <w:numId w:val="1"/>
        </w:numPr>
        <w:spacing w:after="30" w:before="30"/>
      </w:pPr>
      <w:r>
        <w:rPr>
          <w:b w:val="false"/>
          <w:bCs w:val="false"/>
          <w:sz w:val="22"/>
          <w:szCs w:val="22"/>
        </w:rPr>
        <w:t xml:space="preserve">Black student discipline rate:</w:t>
      </w:r>
    </w:p>
    <w:p>
      <w:pPr>
        <w:spacing w:after="60" w:before="60"/>
      </w:pPr>
      <w:r>
        <w:rPr>
          <w:i/>
          <w:iCs/>
          <w:color w:val="5A5A5A"/>
          <w:sz w:val="22"/>
          <w:szCs w:val="22"/>
        </w:rPr>
        <w:t xml:space="preserve">Composite risk index: Not yet verified (source: n/a)</w:t>
      </w:r>
    </w:p>
    <w:p>
      <w:pPr>
        <w:pStyle w:val="Heading3"/>
        <w:spacing w:after="80" w:before="220"/>
      </w:pPr>
      <w:r>
        <w:rPr>
          <w:b/>
          <w:bCs/>
          <w:color w:val="1F3A5F"/>
          <w:sz w:val="24"/>
          <w:szCs w:val="24"/>
        </w:rPr>
        <w:t xml:space="preserve">Protective factors (existing strengths)</w:t>
      </w:r>
    </w:p>
    <w:p>
      <w:pPr>
        <w:pStyle w:val="ListParagraph"/>
        <w:numPr>
          <w:ilvl w:val="0"/>
          <w:numId w:val="1"/>
        </w:numPr>
        <w:spacing w:after="30" w:before="30"/>
      </w:pPr>
      <w:r>
        <w:rPr>
          <w:b w:val="false"/>
          <w:bCs w:val="false"/>
          <w:sz w:val="22"/>
          <w:szCs w:val="22"/>
        </w:rPr>
        <w:t xml:space="preserve">Black adults 25+ with BA+:</w:t>
      </w:r>
    </w:p>
    <w:p>
      <w:pPr>
        <w:pStyle w:val="ListParagraph"/>
        <w:numPr>
          <w:ilvl w:val="0"/>
          <w:numId w:val="1"/>
        </w:numPr>
        <w:spacing w:after="30" w:before="30"/>
      </w:pPr>
      <w:r>
        <w:rPr>
          <w:b w:val="false"/>
          <w:bCs w:val="false"/>
          <w:sz w:val="22"/>
          <w:szCs w:val="22"/>
        </w:rPr>
        <w:t xml:space="preserve">Active community partners on file: 6</w:t>
      </w:r>
    </w:p>
    <w:p>
      <w:pPr>
        <w:pStyle w:val="ListParagraph"/>
        <w:numPr>
          <w:ilvl w:val="0"/>
          <w:numId w:val="1"/>
        </w:numPr>
        <w:spacing w:after="30" w:before="30"/>
      </w:pPr>
      <w:r>
        <w:rPr>
          <w:b w:val="false"/>
          <w:bCs w:val="false"/>
          <w:sz w:val="22"/>
          <w:szCs w:val="22"/>
        </w:rPr>
        <w:t xml:space="preserve">Partners with active MOU: 0</w:t>
      </w:r>
    </w:p>
    <w:p>
      <w:pPr>
        <w:pStyle w:val="ListParagraph"/>
        <w:numPr>
          <w:ilvl w:val="0"/>
          <w:numId w:val="1"/>
        </w:numPr>
        <w:spacing w:after="30" w:before="30"/>
      </w:pPr>
      <w:r>
        <w:rPr>
          <w:b w:val="false"/>
          <w:bCs w:val="false"/>
          <w:sz w:val="22"/>
          <w:szCs w:val="22"/>
        </w:rPr>
        <w:t xml:space="preserve">Active programs in focus ZIP 78721: 0</w:t>
      </w:r>
    </w:p>
    <w:p>
      <w:pPr>
        <w:pStyle w:val="ListParagraph"/>
        <w:numPr>
          <w:ilvl w:val="0"/>
          <w:numId w:val="1"/>
        </w:numPr>
        <w:spacing w:after="30" w:before="30"/>
      </w:pPr>
      <w:r>
        <w:rPr>
          <w:b w:val="false"/>
          <w:bCs w:val="false"/>
          <w:sz w:val="22"/>
          <w:szCs w:val="22"/>
        </w:rPr>
        <w:t xml:space="preserve">Community resource score (focus ZIP): null</w:t>
      </w:r>
    </w:p>
    <w:p>
      <w:pPr>
        <w:pStyle w:val="Heading3"/>
        <w:spacing w:after="80" w:before="220"/>
      </w:pPr>
      <w:r>
        <w:rPr>
          <w:b/>
          <w:bCs/>
          <w:color w:val="1F3A5F"/>
          <w:sz w:val="24"/>
          <w:szCs w:val="24"/>
        </w:rPr>
        <w:t xml:space="preserve">Public-safety profile</w:t>
      </w:r>
    </w:p>
    <w:tbl>
      <w:tblPr>
        <w:tblW w:type="dxa" w:w="90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tcW w:type="dxa" w:w="4500"/>
            <w:tcBorders>
              <w:top w:val="single" w:color="CCCCCC" w:sz="4"/>
              <w:left w:val="single" w:color="CCCCCC" w:sz="4"/>
              <w:bottom w:val="single" w:color="CCCCCC" w:sz="4"/>
              <w:right w:val="single" w:color="CCCCCC" w:sz="4"/>
            </w:tcBorders>
            <w:shd w:fill="1F3A5F"/>
          </w:tcPr>
          <w:p>
            <w:pPr>
              <w:spacing w:after="30" w:before="30"/>
            </w:pPr>
            <w:r>
              <w:rPr>
                <w:b/>
                <w:bCs/>
                <w:color w:val="FFFFFF"/>
                <w:sz w:val="20"/>
                <w:szCs w:val="20"/>
              </w:rPr>
              <w:t xml:space="preserve">Indicator</w:t>
            </w:r>
          </w:p>
        </w:tc>
        <w:tc>
          <w:tcPr>
            <w:tcW w:type="dxa" w:w="4500"/>
            <w:tcBorders>
              <w:top w:val="single" w:color="CCCCCC" w:sz="4"/>
              <w:left w:val="single" w:color="CCCCCC" w:sz="4"/>
              <w:bottom w:val="single" w:color="CCCCCC" w:sz="4"/>
              <w:right w:val="single" w:color="CCCCCC" w:sz="4"/>
            </w:tcBorders>
            <w:shd w:fill="1F3A5F"/>
          </w:tcPr>
          <w:p>
            <w:pPr>
              <w:spacing w:after="30" w:before="30"/>
            </w:pPr>
            <w:r>
              <w:rPr>
                <w:b/>
                <w:bCs/>
                <w:color w:val="FFFFFF"/>
                <w:sz w:val="20"/>
                <w:szCs w:val="20"/>
              </w:rPr>
              <w:t xml:space="preserve">Value</w:t>
            </w:r>
          </w:p>
        </w:tc>
      </w:tr>
      <w:tr>
        <w:tc>
          <w:tcPr>
            <w:tcW w:type="dxa" w:w="4500"/>
            <w:tcBorders>
              <w:top w:val="single" w:color="CCCCCC" w:sz="4"/>
              <w:left w:val="single" w:color="CCCCCC" w:sz="4"/>
              <w:bottom w:val="single" w:color="CCCCCC" w:sz="4"/>
              <w:right w:val="single" w:color="CCCCCC" w:sz="4"/>
            </w:tcBorders>
          </w:tcPr>
          <w:p>
            <w:pPr>
              <w:spacing w:after="30" w:before="30"/>
            </w:pPr>
            <w:r>
              <w:rPr>
                <w:sz w:val="20"/>
                <w:szCs w:val="20"/>
              </w:rPr>
              <w:t xml:space="preserve">violent</w:t>
            </w:r>
          </w:p>
        </w:tc>
        <w:tc>
          <w:tcPr>
            <w:tcW w:type="dxa" w:w="4500"/>
            <w:tcBorders>
              <w:top w:val="single" w:color="CCCCCC" w:sz="4"/>
              <w:left w:val="single" w:color="CCCCCC" w:sz="4"/>
              <w:bottom w:val="single" w:color="CCCCCC" w:sz="4"/>
              <w:right w:val="single" w:color="CCCCCC" w:sz="4"/>
            </w:tcBorders>
          </w:tcPr>
          <w:p>
            <w:pPr>
              <w:spacing w:after="30" w:before="30"/>
            </w:pPr>
            <w:r>
              <w:rPr>
                <w:sz w:val="20"/>
                <w:szCs w:val="20"/>
              </w:rPr>
              <w:t xml:space="preserve">131,177 incidents (2022, TX state total)</w:t>
            </w:r>
          </w:p>
        </w:tc>
      </w:tr>
      <w:tr>
        <w:tc>
          <w:tcPr>
            <w:tcW w:type="dxa" w:w="45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property</w:t>
            </w:r>
          </w:p>
        </w:tc>
        <w:tc>
          <w:tcPr>
            <w:tcW w:type="dxa" w:w="45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694,081 incidents (2022, TX state total)</w:t>
            </w:r>
          </w:p>
        </w:tc>
      </w:tr>
      <w:tr>
        <w:tc>
          <w:tcPr>
            <w:tcW w:type="dxa" w:w="4500"/>
            <w:tcBorders>
              <w:top w:val="single" w:color="CCCCCC" w:sz="4"/>
              <w:left w:val="single" w:color="CCCCCC" w:sz="4"/>
              <w:bottom w:val="single" w:color="CCCCCC" w:sz="4"/>
              <w:right w:val="single" w:color="CCCCCC" w:sz="4"/>
            </w:tcBorders>
          </w:tcPr>
          <w:p>
            <w:pPr>
              <w:spacing w:after="30" w:before="30"/>
            </w:pPr>
            <w:r>
              <w:rPr>
                <w:sz w:val="20"/>
                <w:szCs w:val="20"/>
              </w:rPr>
              <w:t xml:space="preserve">homicide</w:t>
            </w:r>
          </w:p>
        </w:tc>
        <w:tc>
          <w:tcPr>
            <w:tcW w:type="dxa" w:w="4500"/>
            <w:tcBorders>
              <w:top w:val="single" w:color="CCCCCC" w:sz="4"/>
              <w:left w:val="single" w:color="CCCCCC" w:sz="4"/>
              <w:bottom w:val="single" w:color="CCCCCC" w:sz="4"/>
              <w:right w:val="single" w:color="CCCCCC" w:sz="4"/>
            </w:tcBorders>
          </w:tcPr>
          <w:p>
            <w:pPr>
              <w:spacing w:after="30" w:before="30"/>
            </w:pPr>
            <w:r>
              <w:rPr>
                <w:sz w:val="20"/>
                <w:szCs w:val="20"/>
              </w:rPr>
              <w:t xml:space="preserve">2,099 incidents (2022, TX state total)</w:t>
            </w:r>
          </w:p>
        </w:tc>
      </w:tr>
      <w:tr>
        <w:tc>
          <w:tcPr>
            <w:tcW w:type="dxa" w:w="45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aggravatedAssault</w:t>
            </w:r>
          </w:p>
        </w:tc>
        <w:tc>
          <w:tcPr>
            <w:tcW w:type="dxa" w:w="45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91,655 incidents (2022, TX state total)</w:t>
            </w:r>
          </w:p>
        </w:tc>
      </w:tr>
      <w:tr>
        <w:tc>
          <w:tcPr>
            <w:tcW w:type="dxa" w:w="4500"/>
            <w:tcBorders>
              <w:top w:val="single" w:color="CCCCCC" w:sz="4"/>
              <w:left w:val="single" w:color="CCCCCC" w:sz="4"/>
              <w:bottom w:val="single" w:color="CCCCCC" w:sz="4"/>
              <w:right w:val="single" w:color="CCCCCC" w:sz="4"/>
            </w:tcBorders>
          </w:tcPr>
          <w:p>
            <w:pPr>
              <w:spacing w:after="30" w:before="30"/>
            </w:pPr>
            <w:r>
              <w:rPr>
                <w:sz w:val="20"/>
                <w:szCs w:val="20"/>
              </w:rPr>
              <w:t xml:space="preserve">robbery</w:t>
            </w:r>
          </w:p>
        </w:tc>
        <w:tc>
          <w:tcPr>
            <w:tcW w:type="dxa" w:w="4500"/>
            <w:tcBorders>
              <w:top w:val="single" w:color="CCCCCC" w:sz="4"/>
              <w:left w:val="single" w:color="CCCCCC" w:sz="4"/>
              <w:bottom w:val="single" w:color="CCCCCC" w:sz="4"/>
              <w:right w:val="single" w:color="CCCCCC" w:sz="4"/>
            </w:tcBorders>
          </w:tcPr>
          <w:p>
            <w:pPr>
              <w:spacing w:after="30" w:before="30"/>
            </w:pPr>
            <w:r>
              <w:rPr>
                <w:sz w:val="20"/>
                <w:szCs w:val="20"/>
              </w:rPr>
              <w:t xml:space="preserve">21,258 incidents (2022, TX state total)</w:t>
            </w:r>
          </w:p>
        </w:tc>
      </w:tr>
      <w:tr>
        <w:tc>
          <w:tcPr>
            <w:tcW w:type="dxa" w:w="45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burglary</w:t>
            </w:r>
          </w:p>
        </w:tc>
        <w:tc>
          <w:tcPr>
            <w:tcW w:type="dxa" w:w="45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100,873 incidents (2022, TX state total)</w:t>
            </w:r>
          </w:p>
        </w:tc>
      </w:tr>
      <w:tr>
        <w:tc>
          <w:tcPr>
            <w:tcW w:type="dxa" w:w="4500"/>
            <w:tcBorders>
              <w:top w:val="single" w:color="CCCCCC" w:sz="4"/>
              <w:left w:val="single" w:color="CCCCCC" w:sz="4"/>
              <w:bottom w:val="single" w:color="CCCCCC" w:sz="4"/>
              <w:right w:val="single" w:color="CCCCCC" w:sz="4"/>
            </w:tcBorders>
          </w:tcPr>
          <w:p>
            <w:pPr>
              <w:spacing w:after="30" w:before="30"/>
            </w:pPr>
            <w:r>
              <w:rPr>
                <w:sz w:val="20"/>
                <w:szCs w:val="20"/>
              </w:rPr>
              <w:t xml:space="preserve">focusZipCrimeIndex</w:t>
            </w:r>
          </w:p>
        </w:tc>
        <w:tc>
          <w:tcPr>
            <w:tcW w:type="dxa" w:w="4500"/>
            <w:tcBorders>
              <w:top w:val="single" w:color="CCCCCC" w:sz="4"/>
              <w:left w:val="single" w:color="CCCCCC" w:sz="4"/>
              <w:bottom w:val="single" w:color="CCCCCC" w:sz="4"/>
              <w:right w:val="single" w:color="CCCCCC" w:sz="4"/>
            </w:tcBorders>
          </w:tcPr>
          <w:p>
            <w:pPr>
              <w:spacing w:after="30" w:before="30"/>
            </w:pPr>
            <w:r>
              <w:rPr>
                <w:sz w:val="20"/>
                <w:szCs w:val="20"/>
              </w:rPr>
              <w:t xml:space="preserve">—</w:t>
            </w:r>
          </w:p>
        </w:tc>
      </w:tr>
      <w:tr>
        <w:tc>
          <w:tcPr>
            <w:tcW w:type="dxa" w:w="45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focusZipViolentRate</w:t>
            </w:r>
          </w:p>
        </w:tc>
        <w:tc>
          <w:tcPr>
            <w:tcW w:type="dxa" w:w="45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w:t>
            </w:r>
          </w:p>
        </w:tc>
      </w:tr>
      <w:tr>
        <w:tc>
          <w:tcPr>
            <w:tcW w:type="dxa" w:w="4500"/>
            <w:tcBorders>
              <w:top w:val="single" w:color="CCCCCC" w:sz="4"/>
              <w:left w:val="single" w:color="CCCCCC" w:sz="4"/>
              <w:bottom w:val="single" w:color="CCCCCC" w:sz="4"/>
              <w:right w:val="single" w:color="CCCCCC" w:sz="4"/>
            </w:tcBorders>
          </w:tcPr>
          <w:p>
            <w:pPr>
              <w:spacing w:after="30" w:before="30"/>
            </w:pPr>
            <w:r>
              <w:rPr>
                <w:sz w:val="20"/>
                <w:szCs w:val="20"/>
              </w:rPr>
              <w:t xml:space="preserve">focusZipJuvenileRate</w:t>
            </w:r>
          </w:p>
        </w:tc>
        <w:tc>
          <w:tcPr>
            <w:tcW w:type="dxa" w:w="4500"/>
            <w:tcBorders>
              <w:top w:val="single" w:color="CCCCCC" w:sz="4"/>
              <w:left w:val="single" w:color="CCCCCC" w:sz="4"/>
              <w:bottom w:val="single" w:color="CCCCCC" w:sz="4"/>
              <w:right w:val="single" w:color="CCCCCC" w:sz="4"/>
            </w:tcBorders>
          </w:tcPr>
          <w:p>
            <w:pPr>
              <w:spacing w:after="30" w:before="30"/>
            </w:pPr>
            <w:r>
              <w:rPr>
                <w:sz w:val="20"/>
                <w:szCs w:val="20"/>
              </w:rPr>
              <w:t xml:space="preserve">—</w:t>
            </w:r>
          </w:p>
        </w:tc>
      </w:tr>
    </w:tbl>
    <w:p>
      <w:pPr>
        <w:pStyle w:val="Heading3"/>
        <w:spacing w:after="80" w:before="220"/>
      </w:pPr>
      <w:r>
        <w:rPr>
          <w:b/>
          <w:bCs/>
          <w:color w:val="1F3A5F"/>
          <w:sz w:val="24"/>
          <w:szCs w:val="24"/>
        </w:rPr>
        <w:t xml:space="preserve">Root causes (what drives the gap)</w:t>
      </w:r>
    </w:p>
    <w:p>
      <w:pPr>
        <w:pStyle w:val="ListParagraph"/>
        <w:numPr>
          <w:ilvl w:val="0"/>
          <w:numId w:val="1"/>
        </w:numPr>
        <w:spacing w:after="30" w:before="30"/>
      </w:pPr>
      <w:r>
        <w:rPr>
          <w:b/>
          <w:bCs/>
          <w:sz w:val="22"/>
          <w:szCs w:val="22"/>
        </w:rPr>
        <w:t xml:space="preserve">Economic exclusion:</w:t>
      </w:r>
    </w:p>
    <w:p>
      <w:pPr>
        <w:pStyle w:val="ListParagraph"/>
        <w:numPr>
          <w:ilvl w:val="0"/>
          <w:numId w:val="1"/>
        </w:numPr>
        <w:spacing w:after="30" w:before="30"/>
      </w:pPr>
      <w:r>
        <w:rPr>
          <w:b/>
          <w:bCs/>
          <w:sz w:val="22"/>
          <w:szCs w:val="22"/>
        </w:rPr>
        <w:t xml:space="preserve">Family structure under economic stress:</w:t>
      </w:r>
    </w:p>
    <w:p>
      <w:pPr>
        <w:pStyle w:val="ListParagraph"/>
        <w:numPr>
          <w:ilvl w:val="0"/>
          <w:numId w:val="1"/>
        </w:numPr>
        <w:spacing w:after="30" w:before="30"/>
      </w:pPr>
      <w:r>
        <w:rPr>
          <w:b/>
          <w:bCs/>
          <w:sz w:val="22"/>
          <w:szCs w:val="22"/>
        </w:rPr>
        <w:t xml:space="preserve">Education-to-opportunity gap:</w:t>
      </w:r>
    </w:p>
    <w:p>
      <w:pPr>
        <w:pStyle w:val="ListParagraph"/>
        <w:numPr>
          <w:ilvl w:val="0"/>
          <w:numId w:val="1"/>
        </w:numPr>
        <w:spacing w:after="30" w:before="30"/>
      </w:pPr>
      <w:r>
        <w:rPr>
          <w:b/>
          <w:bCs/>
          <w:sz w:val="22"/>
          <w:szCs w:val="22"/>
        </w:rPr>
        <w:t xml:space="preserve">Compounded neighborhood pressure:</w:t>
      </w:r>
    </w:p>
    <w:p>
      <w:pPr>
        <w:pStyle w:val="ListParagraph"/>
        <w:numPr>
          <w:ilvl w:val="0"/>
          <w:numId w:val="1"/>
        </w:numPr>
        <w:spacing w:after="30" w:before="30"/>
      </w:pPr>
      <w:r>
        <w:rPr>
          <w:b/>
          <w:bCs/>
          <w:sz w:val="22"/>
          <w:szCs w:val="22"/>
        </w:rPr>
        <w:t xml:space="preserve">Untreated mental-health burden:</w:t>
      </w:r>
    </w:p>
    <w:p>
      <w:pPr>
        <w:pStyle w:val="ListParagraph"/>
        <w:numPr>
          <w:ilvl w:val="0"/>
          <w:numId w:val="1"/>
        </w:numPr>
        <w:spacing w:after="30" w:before="30"/>
      </w:pPr>
      <w:r>
        <w:rPr>
          <w:b/>
          <w:bCs/>
          <w:sz w:val="22"/>
          <w:szCs w:val="22"/>
        </w:rPr>
        <w:t xml:space="preserve">School-to-justice-system pipeline:</w:t>
      </w:r>
    </w:p>
    <w:p>
      <w:pPr>
        <w:pStyle w:val="Heading3"/>
        <w:spacing w:after="80" w:before="220"/>
      </w:pPr>
      <w:r>
        <w:rPr>
          <w:b/>
          <w:bCs/>
          <w:color w:val="1F3A5F"/>
          <w:sz w:val="24"/>
          <w:szCs w:val="24"/>
        </w:rPr>
        <w:t xml:space="preserve">Recommended solutions</w:t>
      </w:r>
    </w:p>
    <w:p>
      <w:pPr>
        <w:pStyle w:val="ListParagraph"/>
        <w:numPr>
          <w:ilvl w:val="0"/>
          <w:numId w:val="1"/>
        </w:numPr>
        <w:spacing w:after="30" w:before="30"/>
      </w:pPr>
      <w:r>
        <w:rPr>
          <w:b w:val="false"/>
          <w:bCs w:val="false"/>
          <w:sz w:val="22"/>
          <w:szCs w:val="22"/>
        </w:rPr>
        <w:t xml:space="preserve"/>
      </w:r>
    </w:p>
    <w:p>
      <w:pPr>
        <w:pStyle w:val="ListParagraph"/>
        <w:numPr>
          <w:ilvl w:val="0"/>
          <w:numId w:val="1"/>
        </w:numPr>
        <w:spacing w:after="30" w:before="30"/>
      </w:pPr>
      <w:r>
        <w:rPr>
          <w:b w:val="false"/>
          <w:bCs w:val="false"/>
          <w:sz w:val="22"/>
          <w:szCs w:val="22"/>
        </w:rPr>
        <w:t xml:space="preserve"/>
      </w:r>
    </w:p>
    <w:p>
      <w:pPr>
        <w:pStyle w:val="ListParagraph"/>
        <w:numPr>
          <w:ilvl w:val="0"/>
          <w:numId w:val="1"/>
        </w:numPr>
        <w:spacing w:after="30" w:before="30"/>
      </w:pPr>
      <w:r>
        <w:rPr>
          <w:b w:val="false"/>
          <w:bCs w:val="false"/>
          <w:sz w:val="22"/>
          <w:szCs w:val="22"/>
        </w:rPr>
        <w:t xml:space="preserve"/>
      </w:r>
    </w:p>
    <w:p>
      <w:pPr>
        <w:pStyle w:val="ListParagraph"/>
        <w:numPr>
          <w:ilvl w:val="0"/>
          <w:numId w:val="1"/>
        </w:numPr>
        <w:spacing w:after="30" w:before="30"/>
      </w:pPr>
      <w:r>
        <w:rPr>
          <w:b w:val="false"/>
          <w:bCs w:val="false"/>
          <w:sz w:val="22"/>
          <w:szCs w:val="22"/>
        </w:rPr>
        <w:t xml:space="preserve"/>
      </w:r>
    </w:p>
    <w:p>
      <w:pPr>
        <w:pStyle w:val="ListParagraph"/>
        <w:numPr>
          <w:ilvl w:val="0"/>
          <w:numId w:val="1"/>
        </w:numPr>
        <w:spacing w:after="30" w:before="30"/>
      </w:pPr>
      <w:r>
        <w:rPr>
          <w:b w:val="false"/>
          <w:bCs w:val="false"/>
          <w:sz w:val="22"/>
          <w:szCs w:val="22"/>
        </w:rPr>
        <w:t xml:space="preserve"/>
      </w:r>
    </w:p>
    <w:p>
      <w:pPr>
        <w:pStyle w:val="Heading3"/>
        <w:spacing w:after="80" w:before="220"/>
      </w:pPr>
      <w:r>
        <w:rPr>
          <w:b/>
          <w:bCs/>
          <w:color w:val="1F3A5F"/>
          <w:sz w:val="24"/>
          <w:szCs w:val="24"/>
        </w:rPr>
        <w:t xml:space="preserve">Community resources currently active</w:t>
      </w:r>
    </w:p>
    <w:tbl>
      <w:tblPr>
        <w:tblW w:type="dxa" w:w="90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tcW w:type="dxa" w:w="3000"/>
            <w:tcBorders>
              <w:top w:val="single" w:color="CCCCCC" w:sz="4"/>
              <w:left w:val="single" w:color="CCCCCC" w:sz="4"/>
              <w:bottom w:val="single" w:color="CCCCCC" w:sz="4"/>
              <w:right w:val="single" w:color="CCCCCC" w:sz="4"/>
            </w:tcBorders>
            <w:shd w:fill="1F3A5F"/>
          </w:tcPr>
          <w:p>
            <w:pPr>
              <w:spacing w:after="30" w:before="30"/>
            </w:pPr>
            <w:r>
              <w:rPr>
                <w:b/>
                <w:bCs/>
                <w:color w:val="FFFFFF"/>
                <w:sz w:val="20"/>
                <w:szCs w:val="20"/>
              </w:rPr>
              <w:t xml:space="preserve">Resource</w:t>
            </w:r>
          </w:p>
        </w:tc>
        <w:tc>
          <w:tcPr>
            <w:tcW w:type="dxa" w:w="3000"/>
            <w:tcBorders>
              <w:top w:val="single" w:color="CCCCCC" w:sz="4"/>
              <w:left w:val="single" w:color="CCCCCC" w:sz="4"/>
              <w:bottom w:val="single" w:color="CCCCCC" w:sz="4"/>
              <w:right w:val="single" w:color="CCCCCC" w:sz="4"/>
            </w:tcBorders>
            <w:shd w:fill="1F3A5F"/>
          </w:tcPr>
          <w:p>
            <w:pPr>
              <w:spacing w:after="30" w:before="30"/>
            </w:pPr>
            <w:r>
              <w:rPr>
                <w:b/>
                <w:bCs/>
                <w:color w:val="FFFFFF"/>
                <w:sz w:val="20"/>
                <w:szCs w:val="20"/>
              </w:rPr>
              <w:t xml:space="preserve">Type</w:t>
            </w:r>
          </w:p>
        </w:tc>
        <w:tc>
          <w:tcPr>
            <w:tcW w:type="dxa" w:w="3000"/>
            <w:tcBorders>
              <w:top w:val="single" w:color="CCCCCC" w:sz="4"/>
              <w:left w:val="single" w:color="CCCCCC" w:sz="4"/>
              <w:bottom w:val="single" w:color="CCCCCC" w:sz="4"/>
              <w:right w:val="single" w:color="CCCCCC" w:sz="4"/>
            </w:tcBorders>
            <w:shd w:fill="1F3A5F"/>
          </w:tcPr>
          <w:p>
            <w:pPr>
              <w:spacing w:after="30" w:before="30"/>
            </w:pPr>
            <w:r>
              <w:rPr>
                <w:b/>
                <w:bCs/>
                <w:color w:val="FFFFFF"/>
                <w:sz w:val="20"/>
                <w:szCs w:val="20"/>
              </w:rPr>
              <w:t xml:space="preserve">Notes</w:t>
            </w:r>
          </w:p>
        </w:tc>
      </w:tr>
      <w:tr>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MEASURE Austin</w:t>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nonprofit</w:t>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
            </w:r>
          </w:p>
        </w:tc>
      </w:tr>
      <w:tr>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NAMI Austin</w:t>
            </w:r>
          </w:p>
        </w:tc>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nonprofit</w:t>
            </w:r>
          </w:p>
        </w:tc>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
            </w:r>
          </w:p>
        </w:tc>
      </w:tr>
      <w:tr>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Workforce Solutions Capital Area</w:t>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government</w:t>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
            </w:r>
          </w:p>
        </w:tc>
      </w:tr>
      <w:tr>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Huston-Tillotson University</w:t>
            </w:r>
          </w:p>
        </w:tc>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education</w:t>
            </w:r>
          </w:p>
        </w:tc>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
            </w:r>
          </w:p>
        </w:tc>
      </w:tr>
      <w:tr>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Communities In Schools of Central Texas</w:t>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nonprofit</w:t>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
            </w:r>
          </w:p>
        </w:tc>
      </w:tr>
      <w:tr>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Travis County Reentry Roundtable</w:t>
            </w:r>
          </w:p>
        </w:tc>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community-group</w:t>
            </w:r>
          </w:p>
        </w:tc>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
            </w:r>
          </w:p>
        </w:tc>
      </w:tr>
    </w:tbl>
    <w:p>
      <w:pPr>
        <w:pStyle w:val="Heading3"/>
        <w:spacing w:after="80" w:before="220"/>
      </w:pPr>
      <w:r>
        <w:rPr>
          <w:b/>
          <w:bCs/>
          <w:color w:val="1F3A5F"/>
          <w:sz w:val="24"/>
          <w:szCs w:val="24"/>
        </w:rPr>
        <w:t xml:space="preserve">Partner organizations at the table</w:t>
      </w:r>
    </w:p>
    <w:tbl>
      <w:tblPr>
        <w:tblW w:type="dxa" w:w="90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tcW w:type="dxa" w:w="3000"/>
            <w:tcBorders>
              <w:top w:val="single" w:color="CCCCCC" w:sz="4"/>
              <w:left w:val="single" w:color="CCCCCC" w:sz="4"/>
              <w:bottom w:val="single" w:color="CCCCCC" w:sz="4"/>
              <w:right w:val="single" w:color="CCCCCC" w:sz="4"/>
            </w:tcBorders>
            <w:shd w:fill="1F3A5F"/>
          </w:tcPr>
          <w:p>
            <w:pPr>
              <w:spacing w:after="30" w:before="30"/>
            </w:pPr>
            <w:r>
              <w:rPr>
                <w:b/>
                <w:bCs/>
                <w:color w:val="FFFFFF"/>
                <w:sz w:val="20"/>
                <w:szCs w:val="20"/>
              </w:rPr>
              <w:t xml:space="preserve">Organization</w:t>
            </w:r>
          </w:p>
        </w:tc>
        <w:tc>
          <w:tcPr>
            <w:tcW w:type="dxa" w:w="3000"/>
            <w:tcBorders>
              <w:top w:val="single" w:color="CCCCCC" w:sz="4"/>
              <w:left w:val="single" w:color="CCCCCC" w:sz="4"/>
              <w:bottom w:val="single" w:color="CCCCCC" w:sz="4"/>
              <w:right w:val="single" w:color="CCCCCC" w:sz="4"/>
            </w:tcBorders>
            <w:shd w:fill="1F3A5F"/>
          </w:tcPr>
          <w:p>
            <w:pPr>
              <w:spacing w:after="30" w:before="30"/>
            </w:pPr>
            <w:r>
              <w:rPr>
                <w:b/>
                <w:bCs/>
                <w:color w:val="FFFFFF"/>
                <w:sz w:val="20"/>
                <w:szCs w:val="20"/>
              </w:rPr>
              <w:t xml:space="preserve">Role</w:t>
            </w:r>
          </w:p>
        </w:tc>
        <w:tc>
          <w:tcPr>
            <w:tcW w:type="dxa" w:w="3000"/>
            <w:tcBorders>
              <w:top w:val="single" w:color="CCCCCC" w:sz="4"/>
              <w:left w:val="single" w:color="CCCCCC" w:sz="4"/>
              <w:bottom w:val="single" w:color="CCCCCC" w:sz="4"/>
              <w:right w:val="single" w:color="CCCCCC" w:sz="4"/>
            </w:tcBorders>
            <w:shd w:fill="1F3A5F"/>
          </w:tcPr>
          <w:p>
            <w:pPr>
              <w:spacing w:after="30" w:before="30"/>
            </w:pPr>
            <w:r>
              <w:rPr>
                <w:b/>
                <w:bCs/>
                <w:color w:val="FFFFFF"/>
                <w:sz w:val="20"/>
                <w:szCs w:val="20"/>
              </w:rPr>
              <w:t xml:space="preserve">Notes</w:t>
            </w:r>
          </w:p>
        </w:tc>
      </w:tr>
      <w:tr>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MEASURE Austin</w:t>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
            </w:r>
          </w:p>
        </w:tc>
      </w:tr>
      <w:tr>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NAMI Austin</w:t>
            </w:r>
          </w:p>
        </w:tc>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
            </w:r>
          </w:p>
        </w:tc>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
            </w:r>
          </w:p>
        </w:tc>
      </w:tr>
      <w:tr>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Workforce Solutions Capital Area</w:t>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
            </w:r>
          </w:p>
        </w:tc>
      </w:tr>
      <w:tr>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Huston-Tillotson University</w:t>
            </w:r>
          </w:p>
        </w:tc>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
            </w:r>
          </w:p>
        </w:tc>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
            </w:r>
          </w:p>
        </w:tc>
      </w:tr>
      <w:tr>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Communities In Schools of Central Texas</w:t>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
            </w:r>
          </w:p>
        </w:tc>
      </w:tr>
      <w:tr>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Travis County Reentry Roundtable</w:t>
            </w:r>
          </w:p>
        </w:tc>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
            </w:r>
          </w:p>
        </w:tc>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
            </w:r>
          </w:p>
        </w:tc>
      </w:tr>
    </w:tbl>
    <w:p>
      <w:pPr>
        <w:pStyle w:val="Heading3"/>
        <w:spacing w:after="80" w:before="220"/>
      </w:pPr>
      <w:r>
        <w:rPr>
          <w:b/>
          <w:bCs/>
          <w:color w:val="1F3A5F"/>
          <w:sz w:val="24"/>
          <w:szCs w:val="24"/>
        </w:rPr>
        <w:t xml:space="preserve">Chain-of-evidence story for this metro</w:t>
      </w:r>
    </w:p>
    <w:p>
      <w:pPr>
        <w:spacing w:after="60" w:before="60"/>
      </w:pPr>
      <w:r>
        <w:rPr>
          <w:sz w:val="22"/>
          <w:szCs w:val="22"/>
        </w:rPr>
        <w:t xml:space="preserve">Each step below depends on the verified data step before it — no link in the chain is unsupported.</w:t>
      </w:r>
    </w:p>
    <w:p>
      <w:pPr>
        <w:pStyle w:val="ListParagraph"/>
        <w:numPr>
          <w:ilvl w:val="0"/>
          <w:numId w:val="1"/>
        </w:numPr>
        <w:spacing w:after="30" w:before="30"/>
      </w:pPr>
      <w:r>
        <w:rPr>
          <w:b w:val="false"/>
          <w:bCs w:val="false"/>
          <w:sz w:val="22"/>
          <w:szCs w:val="22"/>
        </w:rPr>
        <w:t xml:space="preserve">Austin / Travis County (need is spread across several neighborhoods). Population: 1,289,054. Poverty rate: 11.1%. Median household income: $92,731.</w:t>
      </w:r>
    </w:p>
    <w:p>
      <w:pPr>
        <w:pStyle w:val="ListParagraph"/>
        <w:numPr>
          <w:ilvl w:val="0"/>
          <w:numId w:val="1"/>
        </w:numPr>
        <w:spacing w:after="30" w:before="30"/>
      </w:pPr>
      <w:r>
        <w:rPr>
          <w:b w:val="false"/>
          <w:bCs w:val="false"/>
          <w:sz w:val="22"/>
          <w:szCs w:val="22"/>
        </w:rPr>
        <w:t xml:space="preserve">Neighborhood-pressure profile: Social Vulnerability Index ranks at the — percentile nationally (the higher the number, the more pressure on the community). Overall health burden score: 21.27 on a 0-to-1 scale. Federal food-desert flag (U.S. Department of Agriculture): —. Unemployment: 4.2%.</w:t>
      </w:r>
    </w:p>
    <w:p>
      <w:pPr>
        <w:pStyle w:val="ListParagraph"/>
        <w:numPr>
          <w:ilvl w:val="0"/>
          <w:numId w:val="1"/>
        </w:numPr>
        <w:spacing w:after="30" w:before="30"/>
      </w:pPr>
      <w:r>
        <w:rPr>
          <w:b w:val="false"/>
          <w:bCs w:val="false"/>
          <w:sz w:val="22"/>
          <w:szCs w:val="22"/>
        </w:rPr>
        <w:t xml:space="preserve">Focus ZIP code 78721: activity hotspot level — —; juvenile-justice referral rate — —; high-school dropout rate — —; mental-health-care access score — —.</w:t>
      </w:r>
    </w:p>
    <w:p>
      <w:pPr>
        <w:pStyle w:val="ListParagraph"/>
        <w:numPr>
          <w:ilvl w:val="0"/>
          <w:numId w:val="1"/>
        </w:numPr>
        <w:spacing w:after="30" w:before="30"/>
      </w:pPr>
      <w:r>
        <w:rPr>
          <w:b w:val="false"/>
          <w:bCs w:val="false"/>
          <w:sz w:val="22"/>
          <w:szCs w:val="22"/>
        </w:rPr>
        <w:t xml:space="preserve">Fatherhood and mentorship gap (modeled from verified U.S. Census data): roughly 12,498 Black children in single-parent households → roughly 2,750 Black-male mentors needed → roughly 2,039 young adults (ages 16–24) currently disconnected from both school and work.</w:t>
      </w:r>
    </w:p>
    <w:p>
      <w:pPr>
        <w:pStyle w:val="ListParagraph"/>
        <w:numPr>
          <w:ilvl w:val="0"/>
          <w:numId w:val="1"/>
        </w:numPr>
        <w:spacing w:after="30" w:before="30"/>
      </w:pPr>
      <w:r>
        <w:rPr>
          <w:b w:val="false"/>
          <w:bCs w:val="false"/>
          <w:sz w:val="22"/>
          <w:szCs w:val="22"/>
        </w:rPr>
        <w:t xml:space="preserve">6 community partner organizations on file in this city; 0 active programs in the focus ZIP code.</w:t>
      </w:r>
    </w:p>
    <w:p>
      <w:pPr>
        <w:pStyle w:val="Heading2"/>
        <w:spacing w:after="120" w:before="320"/>
      </w:pPr>
      <w:r>
        <w:rPr>
          <w:b/>
          <w:bCs/>
          <w:color w:val="1F3A5F"/>
          <w:sz w:val="28"/>
          <w:szCs w:val="28"/>
        </w:rPr>
        <w:t xml:space="preserve">Chain-of-evidence framework</w:t>
      </w:r>
    </w:p>
    <w:p>
      <w:pPr>
        <w:spacing w:after="60" w:before="60"/>
      </w:pPr>
      <w:r>
        <w:rPr>
          <w:sz w:val="22"/>
          <w:szCs w:val="22"/>
        </w:rPr>
        <w:t xml:space="preserve">Every claim in this assessment can be traced through the chain below. Each step depends only on the steps above it, so a reviewer can audit the data path from raw federal source to final claim.</w:t>
      </w:r>
    </w:p>
    <w:tbl>
      <w:tblPr>
        <w:tblW w:type="dxa" w:w="90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gridCol w:w="100"/>
      </w:tblGrid>
      <w:tr>
        <w:trPr>
          <w:tblHeader/>
        </w:trPr>
        <w:tc>
          <w:tcPr>
            <w:tcW w:type="dxa" w:w="2250"/>
            <w:tcBorders>
              <w:top w:val="single" w:color="CCCCCC" w:sz="4"/>
              <w:left w:val="single" w:color="CCCCCC" w:sz="4"/>
              <w:bottom w:val="single" w:color="CCCCCC" w:sz="4"/>
              <w:right w:val="single" w:color="CCCCCC" w:sz="4"/>
            </w:tcBorders>
            <w:shd w:fill="1F3A5F"/>
          </w:tcPr>
          <w:p>
            <w:pPr>
              <w:spacing w:after="30" w:before="30"/>
            </w:pPr>
            <w:r>
              <w:rPr>
                <w:b/>
                <w:bCs/>
                <w:color w:val="FFFFFF"/>
                <w:sz w:val="20"/>
                <w:szCs w:val="20"/>
              </w:rPr>
              <w:t xml:space="preserve">#</w:t>
            </w:r>
          </w:p>
        </w:tc>
        <w:tc>
          <w:tcPr>
            <w:tcW w:type="dxa" w:w="2250"/>
            <w:tcBorders>
              <w:top w:val="single" w:color="CCCCCC" w:sz="4"/>
              <w:left w:val="single" w:color="CCCCCC" w:sz="4"/>
              <w:bottom w:val="single" w:color="CCCCCC" w:sz="4"/>
              <w:right w:val="single" w:color="CCCCCC" w:sz="4"/>
            </w:tcBorders>
            <w:shd w:fill="1F3A5F"/>
          </w:tcPr>
          <w:p>
            <w:pPr>
              <w:spacing w:after="30" w:before="30"/>
            </w:pPr>
            <w:r>
              <w:rPr>
                <w:b/>
                <w:bCs/>
                <w:color w:val="FFFFFF"/>
                <w:sz w:val="20"/>
                <w:szCs w:val="20"/>
              </w:rPr>
              <w:t xml:space="preserve">Step</w:t>
            </w:r>
          </w:p>
        </w:tc>
        <w:tc>
          <w:tcPr>
            <w:tcW w:type="dxa" w:w="2250"/>
            <w:tcBorders>
              <w:top w:val="single" w:color="CCCCCC" w:sz="4"/>
              <w:left w:val="single" w:color="CCCCCC" w:sz="4"/>
              <w:bottom w:val="single" w:color="CCCCCC" w:sz="4"/>
              <w:right w:val="single" w:color="CCCCCC" w:sz="4"/>
            </w:tcBorders>
            <w:shd w:fill="1F3A5F"/>
          </w:tcPr>
          <w:p>
            <w:pPr>
              <w:spacing w:after="30" w:before="30"/>
            </w:pPr>
            <w:r>
              <w:rPr>
                <w:b/>
                <w:bCs/>
                <w:color w:val="FFFFFF"/>
                <w:sz w:val="20"/>
                <w:szCs w:val="20"/>
              </w:rPr>
              <w:t xml:space="preserve">Source</w:t>
            </w:r>
          </w:p>
        </w:tc>
        <w:tc>
          <w:tcPr>
            <w:tcW w:type="dxa" w:w="2250"/>
            <w:tcBorders>
              <w:top w:val="single" w:color="CCCCCC" w:sz="4"/>
              <w:left w:val="single" w:color="CCCCCC" w:sz="4"/>
              <w:bottom w:val="single" w:color="CCCCCC" w:sz="4"/>
              <w:right w:val="single" w:color="CCCCCC" w:sz="4"/>
            </w:tcBorders>
            <w:shd w:fill="1F3A5F"/>
          </w:tcPr>
          <w:p>
            <w:pPr>
              <w:spacing w:after="30" w:before="30"/>
            </w:pPr>
            <w:r>
              <w:rPr>
                <w:b/>
                <w:bCs/>
                <w:color w:val="FFFFFF"/>
                <w:sz w:val="20"/>
                <w:szCs w:val="20"/>
              </w:rPr>
              <w:t xml:space="preserve">Depends on</w:t>
            </w:r>
          </w:p>
        </w:tc>
      </w:tr>
      <w:tr>
        <w:tc>
          <w:tcPr>
            <w:tcW w:type="dxa" w:w="2250"/>
            <w:tcBorders>
              <w:top w:val="single" w:color="CCCCCC" w:sz="4"/>
              <w:left w:val="single" w:color="CCCCCC" w:sz="4"/>
              <w:bottom w:val="single" w:color="CCCCCC" w:sz="4"/>
              <w:right w:val="single" w:color="CCCCCC" w:sz="4"/>
            </w:tcBorders>
          </w:tcPr>
          <w:p>
            <w:pPr>
              <w:spacing w:after="30" w:before="30"/>
            </w:pPr>
            <w:r>
              <w:rPr>
                <w:sz w:val="20"/>
                <w:szCs w:val="20"/>
              </w:rPr>
              <w:t xml:space="preserve">1</w:t>
            </w:r>
          </w:p>
        </w:tc>
        <w:tc>
          <w:tcPr>
            <w:tcW w:type="dxa" w:w="2250"/>
            <w:tcBorders>
              <w:top w:val="single" w:color="CCCCCC" w:sz="4"/>
              <w:left w:val="single" w:color="CCCCCC" w:sz="4"/>
              <w:bottom w:val="single" w:color="CCCCCC" w:sz="4"/>
              <w:right w:val="single" w:color="CCCCCC" w:sz="4"/>
            </w:tcBorders>
          </w:tcPr>
          <w:p>
            <w:pPr>
              <w:spacing w:after="30" w:before="30"/>
            </w:pPr>
            <w:r>
              <w:rPr>
                <w:sz w:val="20"/>
                <w:szCs w:val="20"/>
              </w:rPr>
              <w:t xml:space="preserve">Total county population
(id: census_total_population)</w:t>
            </w:r>
          </w:p>
        </w:tc>
        <w:tc>
          <w:tcPr>
            <w:tcW w:type="dxa" w:w="2250"/>
            <w:tcBorders>
              <w:top w:val="single" w:color="CCCCCC" w:sz="4"/>
              <w:left w:val="single" w:color="CCCCCC" w:sz="4"/>
              <w:bottom w:val="single" w:color="CCCCCC" w:sz="4"/>
              <w:right w:val="single" w:color="CCCCCC" w:sz="4"/>
            </w:tcBorders>
          </w:tcPr>
          <w:p>
            <w:pPr>
              <w:spacing w:after="30" w:before="30"/>
            </w:pPr>
            <w:r>
              <w:rPr>
                <w:sz w:val="20"/>
                <w:szCs w:val="20"/>
              </w:rPr>
              <w:t xml:space="preserve">U.S. Census Bureau ACS 5-year (2018–2022) — Table B01003</w:t>
            </w:r>
          </w:p>
        </w:tc>
        <w:tc>
          <w:tcPr>
            <w:tcW w:type="dxa" w:w="2250"/>
            <w:tcBorders>
              <w:top w:val="single" w:color="CCCCCC" w:sz="4"/>
              <w:left w:val="single" w:color="CCCCCC" w:sz="4"/>
              <w:bottom w:val="single" w:color="CCCCCC" w:sz="4"/>
              <w:right w:val="single" w:color="CCCCCC" w:sz="4"/>
            </w:tcBorders>
          </w:tcPr>
          <w:p>
            <w:pPr>
              <w:spacing w:after="30" w:before="30"/>
            </w:pPr>
            <w:r>
              <w:rPr>
                <w:sz w:val="20"/>
                <w:szCs w:val="20"/>
              </w:rPr>
              <w:t xml:space="preserve">(root)</w:t>
            </w:r>
          </w:p>
        </w:tc>
      </w:tr>
      <w:tr>
        <w:tc>
          <w:tcPr>
            <w:tcW w:type="dxa" w:w="225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2</w:t>
            </w:r>
          </w:p>
        </w:tc>
        <w:tc>
          <w:tcPr>
            <w:tcW w:type="dxa" w:w="225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Black population (total)
(id: census_black_population)</w:t>
            </w:r>
          </w:p>
        </w:tc>
        <w:tc>
          <w:tcPr>
            <w:tcW w:type="dxa" w:w="225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U.S. Census Bureau ACS 5-year (2018–2022) — Table B01001B</w:t>
            </w:r>
          </w:p>
        </w:tc>
        <w:tc>
          <w:tcPr>
            <w:tcW w:type="dxa" w:w="225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census_total_population</w:t>
            </w:r>
          </w:p>
        </w:tc>
      </w:tr>
      <w:tr>
        <w:tc>
          <w:tcPr>
            <w:tcW w:type="dxa" w:w="2250"/>
            <w:tcBorders>
              <w:top w:val="single" w:color="CCCCCC" w:sz="4"/>
              <w:left w:val="single" w:color="CCCCCC" w:sz="4"/>
              <w:bottom w:val="single" w:color="CCCCCC" w:sz="4"/>
              <w:right w:val="single" w:color="CCCCCC" w:sz="4"/>
            </w:tcBorders>
          </w:tcPr>
          <w:p>
            <w:pPr>
              <w:spacing w:after="30" w:before="30"/>
            </w:pPr>
            <w:r>
              <w:rPr>
                <w:sz w:val="20"/>
                <w:szCs w:val="20"/>
              </w:rPr>
              <w:t xml:space="preserve">3</w:t>
            </w:r>
          </w:p>
        </w:tc>
        <w:tc>
          <w:tcPr>
            <w:tcW w:type="dxa" w:w="2250"/>
            <w:tcBorders>
              <w:top w:val="single" w:color="CCCCCC" w:sz="4"/>
              <w:left w:val="single" w:color="CCCCCC" w:sz="4"/>
              <w:bottom w:val="single" w:color="CCCCCC" w:sz="4"/>
              <w:right w:val="single" w:color="CCCCCC" w:sz="4"/>
            </w:tcBorders>
          </w:tcPr>
          <w:p>
            <w:pPr>
              <w:spacing w:after="30" w:before="30"/>
            </w:pPr>
            <w:r>
              <w:rPr>
                <w:sz w:val="20"/>
                <w:szCs w:val="20"/>
              </w:rPr>
              <w:t xml:space="preserve">Black poverty rate
(id: census_black_poverty)</w:t>
            </w:r>
          </w:p>
        </w:tc>
        <w:tc>
          <w:tcPr>
            <w:tcW w:type="dxa" w:w="2250"/>
            <w:tcBorders>
              <w:top w:val="single" w:color="CCCCCC" w:sz="4"/>
              <w:left w:val="single" w:color="CCCCCC" w:sz="4"/>
              <w:bottom w:val="single" w:color="CCCCCC" w:sz="4"/>
              <w:right w:val="single" w:color="CCCCCC" w:sz="4"/>
            </w:tcBorders>
          </w:tcPr>
          <w:p>
            <w:pPr>
              <w:spacing w:after="30" w:before="30"/>
            </w:pPr>
            <w:r>
              <w:rPr>
                <w:sz w:val="20"/>
                <w:szCs w:val="20"/>
              </w:rPr>
              <w:t xml:space="preserve">U.S. Census Bureau ACS 5-year — Table B17001B</w:t>
            </w:r>
          </w:p>
        </w:tc>
        <w:tc>
          <w:tcPr>
            <w:tcW w:type="dxa" w:w="2250"/>
            <w:tcBorders>
              <w:top w:val="single" w:color="CCCCCC" w:sz="4"/>
              <w:left w:val="single" w:color="CCCCCC" w:sz="4"/>
              <w:bottom w:val="single" w:color="CCCCCC" w:sz="4"/>
              <w:right w:val="single" w:color="CCCCCC" w:sz="4"/>
            </w:tcBorders>
          </w:tcPr>
          <w:p>
            <w:pPr>
              <w:spacing w:after="30" w:before="30"/>
            </w:pPr>
            <w:r>
              <w:rPr>
                <w:sz w:val="20"/>
                <w:szCs w:val="20"/>
              </w:rPr>
              <w:t xml:space="preserve">census_black_population</w:t>
            </w:r>
          </w:p>
        </w:tc>
      </w:tr>
      <w:tr>
        <w:tc>
          <w:tcPr>
            <w:tcW w:type="dxa" w:w="225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4</w:t>
            </w:r>
          </w:p>
        </w:tc>
        <w:tc>
          <w:tcPr>
            <w:tcW w:type="dxa" w:w="225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Black family structure (single-parent households)
(id: census_black_family)</w:t>
            </w:r>
          </w:p>
        </w:tc>
        <w:tc>
          <w:tcPr>
            <w:tcW w:type="dxa" w:w="225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U.S. Census Bureau ACS 5-year — Table B11001B</w:t>
            </w:r>
          </w:p>
        </w:tc>
        <w:tc>
          <w:tcPr>
            <w:tcW w:type="dxa" w:w="225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census_black_population</w:t>
            </w:r>
          </w:p>
        </w:tc>
      </w:tr>
      <w:tr>
        <w:tc>
          <w:tcPr>
            <w:tcW w:type="dxa" w:w="2250"/>
            <w:tcBorders>
              <w:top w:val="single" w:color="CCCCCC" w:sz="4"/>
              <w:left w:val="single" w:color="CCCCCC" w:sz="4"/>
              <w:bottom w:val="single" w:color="CCCCCC" w:sz="4"/>
              <w:right w:val="single" w:color="CCCCCC" w:sz="4"/>
            </w:tcBorders>
          </w:tcPr>
          <w:p>
            <w:pPr>
              <w:spacing w:after="30" w:before="30"/>
            </w:pPr>
            <w:r>
              <w:rPr>
                <w:sz w:val="20"/>
                <w:szCs w:val="20"/>
              </w:rPr>
              <w:t xml:space="preserve">5</w:t>
            </w:r>
          </w:p>
        </w:tc>
        <w:tc>
          <w:tcPr>
            <w:tcW w:type="dxa" w:w="2250"/>
            <w:tcBorders>
              <w:top w:val="single" w:color="CCCCCC" w:sz="4"/>
              <w:left w:val="single" w:color="CCCCCC" w:sz="4"/>
              <w:bottom w:val="single" w:color="CCCCCC" w:sz="4"/>
              <w:right w:val="single" w:color="CCCCCC" w:sz="4"/>
            </w:tcBorders>
          </w:tcPr>
          <w:p>
            <w:pPr>
              <w:spacing w:after="30" w:before="30"/>
            </w:pPr>
            <w:r>
              <w:rPr>
                <w:sz w:val="20"/>
                <w:szCs w:val="20"/>
              </w:rPr>
              <w:t xml:space="preserve">Black educational attainment 25+
(id: census_black_education)</w:t>
            </w:r>
          </w:p>
        </w:tc>
        <w:tc>
          <w:tcPr>
            <w:tcW w:type="dxa" w:w="2250"/>
            <w:tcBorders>
              <w:top w:val="single" w:color="CCCCCC" w:sz="4"/>
              <w:left w:val="single" w:color="CCCCCC" w:sz="4"/>
              <w:bottom w:val="single" w:color="CCCCCC" w:sz="4"/>
              <w:right w:val="single" w:color="CCCCCC" w:sz="4"/>
            </w:tcBorders>
          </w:tcPr>
          <w:p>
            <w:pPr>
              <w:spacing w:after="30" w:before="30"/>
            </w:pPr>
            <w:r>
              <w:rPr>
                <w:sz w:val="20"/>
                <w:szCs w:val="20"/>
              </w:rPr>
              <w:t xml:space="preserve">U.S. Census Bureau ACS 5-year — Table C15002B</w:t>
            </w:r>
          </w:p>
        </w:tc>
        <w:tc>
          <w:tcPr>
            <w:tcW w:type="dxa" w:w="2250"/>
            <w:tcBorders>
              <w:top w:val="single" w:color="CCCCCC" w:sz="4"/>
              <w:left w:val="single" w:color="CCCCCC" w:sz="4"/>
              <w:bottom w:val="single" w:color="CCCCCC" w:sz="4"/>
              <w:right w:val="single" w:color="CCCCCC" w:sz="4"/>
            </w:tcBorders>
          </w:tcPr>
          <w:p>
            <w:pPr>
              <w:spacing w:after="30" w:before="30"/>
            </w:pPr>
            <w:r>
              <w:rPr>
                <w:sz w:val="20"/>
                <w:szCs w:val="20"/>
              </w:rPr>
              <w:t xml:space="preserve">census_black_population</w:t>
            </w:r>
          </w:p>
        </w:tc>
      </w:tr>
      <w:tr>
        <w:tc>
          <w:tcPr>
            <w:tcW w:type="dxa" w:w="225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6</w:t>
            </w:r>
          </w:p>
        </w:tc>
        <w:tc>
          <w:tcPr>
            <w:tcW w:type="dxa" w:w="225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CDC PLACES — mental health, depression, uninsured
(id: cdc_places_county)</w:t>
            </w:r>
          </w:p>
        </w:tc>
        <w:tc>
          <w:tcPr>
            <w:tcW w:type="dxa" w:w="225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CDC PLACES: Local Data for Better Health</w:t>
            </w:r>
          </w:p>
        </w:tc>
        <w:tc>
          <w:tcPr>
            <w:tcW w:type="dxa" w:w="225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census_total_population</w:t>
            </w:r>
          </w:p>
        </w:tc>
      </w:tr>
      <w:tr>
        <w:tc>
          <w:tcPr>
            <w:tcW w:type="dxa" w:w="2250"/>
            <w:tcBorders>
              <w:top w:val="single" w:color="CCCCCC" w:sz="4"/>
              <w:left w:val="single" w:color="CCCCCC" w:sz="4"/>
              <w:bottom w:val="single" w:color="CCCCCC" w:sz="4"/>
              <w:right w:val="single" w:color="CCCCCC" w:sz="4"/>
            </w:tcBorders>
          </w:tcPr>
          <w:p>
            <w:pPr>
              <w:spacing w:after="30" w:before="30"/>
            </w:pPr>
            <w:r>
              <w:rPr>
                <w:sz w:val="20"/>
                <w:szCs w:val="20"/>
              </w:rPr>
              <w:t xml:space="preserve">7</w:t>
            </w:r>
          </w:p>
        </w:tc>
        <w:tc>
          <w:tcPr>
            <w:tcW w:type="dxa" w:w="2250"/>
            <w:tcBorders>
              <w:top w:val="single" w:color="CCCCCC" w:sz="4"/>
              <w:left w:val="single" w:color="CCCCCC" w:sz="4"/>
              <w:bottom w:val="single" w:color="CCCCCC" w:sz="4"/>
              <w:right w:val="single" w:color="CCCCCC" w:sz="4"/>
            </w:tcBorders>
          </w:tcPr>
          <w:p>
            <w:pPr>
              <w:spacing w:after="30" w:before="30"/>
            </w:pPr>
            <w:r>
              <w:rPr>
                <w:sz w:val="20"/>
                <w:szCs w:val="20"/>
              </w:rPr>
              <w:t xml:space="preserve">CDC/ATSDR Social Vulnerability Index (county composite)
(id: atsdr_svi_county)</w:t>
            </w:r>
          </w:p>
        </w:tc>
        <w:tc>
          <w:tcPr>
            <w:tcW w:type="dxa" w:w="2250"/>
            <w:tcBorders>
              <w:top w:val="single" w:color="CCCCCC" w:sz="4"/>
              <w:left w:val="single" w:color="CCCCCC" w:sz="4"/>
              <w:bottom w:val="single" w:color="CCCCCC" w:sz="4"/>
              <w:right w:val="single" w:color="CCCCCC" w:sz="4"/>
            </w:tcBorders>
          </w:tcPr>
          <w:p>
            <w:pPr>
              <w:spacing w:after="30" w:before="30"/>
            </w:pPr>
            <w:r>
              <w:rPr>
                <w:sz w:val="20"/>
                <w:szCs w:val="20"/>
              </w:rPr>
              <w:t xml:space="preserve">CDC/ATSDR SVI 2022 — Overall RPL_THEMES</w:t>
            </w:r>
          </w:p>
        </w:tc>
        <w:tc>
          <w:tcPr>
            <w:tcW w:type="dxa" w:w="2250"/>
            <w:tcBorders>
              <w:top w:val="single" w:color="CCCCCC" w:sz="4"/>
              <w:left w:val="single" w:color="CCCCCC" w:sz="4"/>
              <w:bottom w:val="single" w:color="CCCCCC" w:sz="4"/>
              <w:right w:val="single" w:color="CCCCCC" w:sz="4"/>
            </w:tcBorders>
          </w:tcPr>
          <w:p>
            <w:pPr>
              <w:spacing w:after="30" w:before="30"/>
            </w:pPr>
            <w:r>
              <w:rPr>
                <w:sz w:val="20"/>
                <w:szCs w:val="20"/>
              </w:rPr>
              <w:t xml:space="preserve">census_total_population, census_black_poverty</w:t>
            </w:r>
          </w:p>
        </w:tc>
      </w:tr>
      <w:tr>
        <w:tc>
          <w:tcPr>
            <w:tcW w:type="dxa" w:w="225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8</w:t>
            </w:r>
          </w:p>
        </w:tc>
        <w:tc>
          <w:tcPr>
            <w:tcW w:type="dxa" w:w="225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FBI Crime Data Explorer — state summarized by offense
(id: fbi_crime_state)</w:t>
            </w:r>
          </w:p>
        </w:tc>
        <w:tc>
          <w:tcPr>
            <w:tcW w:type="dxa" w:w="225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FBI Crime Data Explorer (CDE) — summarized state endpoint</w:t>
            </w:r>
          </w:p>
        </w:tc>
        <w:tc>
          <w:tcPr>
            <w:tcW w:type="dxa" w:w="225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census_total_population</w:t>
            </w:r>
          </w:p>
        </w:tc>
      </w:tr>
    </w:tbl>
    <w:p>
      <w:pPr>
        <w:pStyle w:val="Heading2"/>
        <w:spacing w:after="120" w:before="320"/>
      </w:pPr>
      <w:r>
        <w:rPr>
          <w:b/>
          <w:bCs/>
          <w:color w:val="1F3A5F"/>
          <w:sz w:val="28"/>
          <w:szCs w:val="28"/>
        </w:rPr>
        <w:t xml:space="preserve">Data sources cited</w:t>
      </w:r>
    </w:p>
    <w:tbl>
      <w:tblPr>
        <w:tblW w:type="dxa" w:w="90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tcW w:type="dxa" w:w="3000"/>
            <w:tcBorders>
              <w:top w:val="single" w:color="CCCCCC" w:sz="4"/>
              <w:left w:val="single" w:color="CCCCCC" w:sz="4"/>
              <w:bottom w:val="single" w:color="CCCCCC" w:sz="4"/>
              <w:right w:val="single" w:color="CCCCCC" w:sz="4"/>
            </w:tcBorders>
            <w:shd w:fill="1F3A5F"/>
          </w:tcPr>
          <w:p>
            <w:pPr>
              <w:spacing w:after="30" w:before="30"/>
            </w:pPr>
            <w:r>
              <w:rPr>
                <w:b/>
                <w:bCs/>
                <w:color w:val="FFFFFF"/>
                <w:sz w:val="20"/>
                <w:szCs w:val="20"/>
              </w:rPr>
              <w:t xml:space="preserve">Source</w:t>
            </w:r>
          </w:p>
        </w:tc>
        <w:tc>
          <w:tcPr>
            <w:tcW w:type="dxa" w:w="3000"/>
            <w:tcBorders>
              <w:top w:val="single" w:color="CCCCCC" w:sz="4"/>
              <w:left w:val="single" w:color="CCCCCC" w:sz="4"/>
              <w:bottom w:val="single" w:color="CCCCCC" w:sz="4"/>
              <w:right w:val="single" w:color="CCCCCC" w:sz="4"/>
            </w:tcBorders>
            <w:shd w:fill="1F3A5F"/>
          </w:tcPr>
          <w:p>
            <w:pPr>
              <w:spacing w:after="30" w:before="30"/>
            </w:pPr>
            <w:r>
              <w:rPr>
                <w:b/>
                <w:bCs/>
                <w:color w:val="FFFFFF"/>
                <w:sz w:val="20"/>
                <w:szCs w:val="20"/>
              </w:rPr>
              <w:t xml:space="preserve">Role in this assessment</w:t>
            </w:r>
          </w:p>
        </w:tc>
        <w:tc>
          <w:tcPr>
            <w:tcW w:type="dxa" w:w="3000"/>
            <w:tcBorders>
              <w:top w:val="single" w:color="CCCCCC" w:sz="4"/>
              <w:left w:val="single" w:color="CCCCCC" w:sz="4"/>
              <w:bottom w:val="single" w:color="CCCCCC" w:sz="4"/>
              <w:right w:val="single" w:color="CCCCCC" w:sz="4"/>
            </w:tcBorders>
            <w:shd w:fill="1F3A5F"/>
          </w:tcPr>
          <w:p>
            <w:pPr>
              <w:spacing w:after="30" w:before="30"/>
            </w:pPr>
            <w:r>
              <w:rPr>
                <w:b/>
                <w:bCs/>
                <w:color w:val="FFFFFF"/>
                <w:sz w:val="20"/>
                <w:szCs w:val="20"/>
              </w:rPr>
              <w:t xml:space="preserve">URL</w:t>
            </w:r>
          </w:p>
        </w:tc>
      </w:tr>
      <w:tr>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U.S. Census ACS 5-year (2018–2022)</w:t>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Population, poverty, income, education attainment</w:t>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https://api.census.gov/data/2022/acs/acs5</w:t>
            </w:r>
          </w:p>
        </w:tc>
      </w:tr>
      <w:tr>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CDC PLACES Local Health Data</w:t>
            </w:r>
          </w:p>
        </w:tc>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Chronic disease + mental health burden by tract/ZIP</w:t>
            </w:r>
          </w:p>
        </w:tc>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https://data.cdc.gov/resource/swc5-untb.json</w:t>
            </w:r>
          </w:p>
        </w:tc>
      </w:tr>
      <w:tr>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CDC Social Vulnerability Index</w:t>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Composite social vulnerability percentile</w:t>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https://data.cdc.gov/resource/4d8n-kk8a.json</w:t>
            </w:r>
          </w:p>
        </w:tc>
      </w:tr>
      <w:tr>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USDA Food Access Research Atlas</w:t>
            </w:r>
          </w:p>
        </w:tc>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Food-desert designation by tract</w:t>
            </w:r>
          </w:p>
        </w:tc>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https://www.ers.usda.gov/data-products/food-access-research-atlas</w:t>
            </w:r>
          </w:p>
        </w:tc>
      </w:tr>
      <w:tr>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BLS LAUS (county unemployment)</w:t>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Monthly county unemployment</w:t>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https://www.bls.gov/lau/</w:t>
            </w:r>
          </w:p>
        </w:tc>
      </w:tr>
      <w:tr>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FBI Crime Data API</w:t>
            </w:r>
          </w:p>
        </w:tc>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State + county crime estimates</w:t>
            </w:r>
          </w:p>
        </w:tc>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https://api.usa.gov/crime/fbi/sapi/</w:t>
            </w:r>
          </w:p>
        </w:tc>
      </w:tr>
      <w:tr>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HUD CHAS housing burden</w:t>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Housing cost burden by tract</w:t>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https://www.huduser.gov/portal/datasets/cp.html</w:t>
            </w:r>
          </w:p>
        </w:tc>
      </w:tr>
      <w:tr>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SAMHSA Treatment Locator + grants</w:t>
            </w:r>
          </w:p>
        </w:tc>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Behavioral health access + funding pipeline</w:t>
            </w:r>
          </w:p>
        </w:tc>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https://findtreatment.gov</w:t>
            </w:r>
          </w:p>
        </w:tc>
      </w:tr>
      <w:tr>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Texas Education Agency TAPR</w:t>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District + campus discipline by race</w:t>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https://tea.texas.gov/texas-schools/accountability/academic-accountability/performance-reporting/texas-academic-performance-reports</w:t>
            </w:r>
          </w:p>
        </w:tc>
      </w:tr>
      <w:tr>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Grants.gov live opportunities</w:t>
            </w:r>
          </w:p>
        </w:tc>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Federal grant pipeline</w:t>
            </w:r>
          </w:p>
        </w:tc>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https://www.grants.gov/</w:t>
            </w:r>
          </w:p>
        </w:tc>
      </w:tr>
      <w:tr>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TX Juvenile Justice Department</w:t>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Juvenile referrals by county/race</w:t>
            </w:r>
          </w:p>
        </w:tc>
        <w:tc>
          <w:tcPr>
            <w:tcW w:type="dxa" w:w="3000"/>
            <w:tcBorders>
              <w:top w:val="single" w:color="CCCCCC" w:sz="4"/>
              <w:left w:val="single" w:color="CCCCCC" w:sz="4"/>
              <w:bottom w:val="single" w:color="CCCCCC" w:sz="4"/>
              <w:right w:val="single" w:color="CCCCCC" w:sz="4"/>
            </w:tcBorders>
          </w:tcPr>
          <w:p>
            <w:pPr>
              <w:spacing w:after="30" w:before="30"/>
            </w:pPr>
            <w:r>
              <w:rPr>
                <w:sz w:val="20"/>
                <w:szCs w:val="20"/>
              </w:rPr>
              <w:t xml:space="preserve">https://www.tjjd.texas.gov/</w:t>
            </w:r>
          </w:p>
        </w:tc>
      </w:tr>
      <w:tr>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BBBS Lone Star public reporting</w:t>
            </w:r>
          </w:p>
        </w:tc>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Mentor waitlist + match data</w:t>
            </w:r>
          </w:p>
        </w:tc>
        <w:tc>
          <w:tcPr>
            <w:tcW w:type="dxa" w:w="30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https://www.bigmentoring.org/</w:t>
            </w:r>
          </w:p>
        </w:tc>
      </w:tr>
    </w:tbl>
    <w:p>
      <w:pPr>
        <w:pStyle w:val="Heading2"/>
        <w:spacing w:after="120" w:before="320"/>
      </w:pPr>
      <w:r>
        <w:rPr>
          <w:b/>
          <w:bCs/>
          <w:color w:val="1F3A5F"/>
          <w:sz w:val="28"/>
          <w:szCs w:val="28"/>
        </w:rPr>
        <w:t xml:space="preserve">Glossary of terms and acronyms</w:t>
      </w:r>
    </w:p>
    <w:tbl>
      <w:tblPr>
        <w:tblW w:type="dxa" w:w="90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tcW w:type="dxa" w:w="4500"/>
            <w:tcBorders>
              <w:top w:val="single" w:color="CCCCCC" w:sz="4"/>
              <w:left w:val="single" w:color="CCCCCC" w:sz="4"/>
              <w:bottom w:val="single" w:color="CCCCCC" w:sz="4"/>
              <w:right w:val="single" w:color="CCCCCC" w:sz="4"/>
            </w:tcBorders>
            <w:shd w:fill="1F3A5F"/>
          </w:tcPr>
          <w:p>
            <w:pPr>
              <w:spacing w:after="30" w:before="30"/>
            </w:pPr>
            <w:r>
              <w:rPr>
                <w:b/>
                <w:bCs/>
                <w:color w:val="FFFFFF"/>
                <w:sz w:val="20"/>
                <w:szCs w:val="20"/>
              </w:rPr>
              <w:t xml:space="preserve">Term</w:t>
            </w:r>
          </w:p>
        </w:tc>
        <w:tc>
          <w:tcPr>
            <w:tcW w:type="dxa" w:w="4500"/>
            <w:tcBorders>
              <w:top w:val="single" w:color="CCCCCC" w:sz="4"/>
              <w:left w:val="single" w:color="CCCCCC" w:sz="4"/>
              <w:bottom w:val="single" w:color="CCCCCC" w:sz="4"/>
              <w:right w:val="single" w:color="CCCCCC" w:sz="4"/>
            </w:tcBorders>
            <w:shd w:fill="1F3A5F"/>
          </w:tcPr>
          <w:p>
            <w:pPr>
              <w:spacing w:after="30" w:before="30"/>
            </w:pPr>
            <w:r>
              <w:rPr>
                <w:b/>
                <w:bCs/>
                <w:color w:val="FFFFFF"/>
                <w:sz w:val="20"/>
                <w:szCs w:val="20"/>
              </w:rPr>
              <w:t xml:space="preserve">Stands for / definition</w:t>
            </w:r>
          </w:p>
        </w:tc>
      </w:tr>
      <w:tr>
        <w:tc>
          <w:tcPr>
            <w:tcW w:type="dxa" w:w="4500"/>
            <w:tcBorders>
              <w:top w:val="single" w:color="CCCCCC" w:sz="4"/>
              <w:left w:val="single" w:color="CCCCCC" w:sz="4"/>
              <w:bottom w:val="single" w:color="CCCCCC" w:sz="4"/>
              <w:right w:val="single" w:color="CCCCCC" w:sz="4"/>
            </w:tcBorders>
          </w:tcPr>
          <w:p>
            <w:pPr>
              <w:spacing w:after="30" w:before="30"/>
            </w:pPr>
            <w:r>
              <w:rPr>
                <w:sz w:val="20"/>
                <w:szCs w:val="20"/>
              </w:rPr>
              <w:t xml:space="preserve">ACS</w:t>
            </w:r>
          </w:p>
        </w:tc>
        <w:tc>
          <w:tcPr>
            <w:tcW w:type="dxa" w:w="4500"/>
            <w:tcBorders>
              <w:top w:val="single" w:color="CCCCCC" w:sz="4"/>
              <w:left w:val="single" w:color="CCCCCC" w:sz="4"/>
              <w:bottom w:val="single" w:color="CCCCCC" w:sz="4"/>
              <w:right w:val="single" w:color="CCCCCC" w:sz="4"/>
            </w:tcBorders>
          </w:tcPr>
          <w:p>
            <w:pPr>
              <w:spacing w:after="30" w:before="30"/>
            </w:pPr>
            <w:r>
              <w:rPr>
                <w:sz w:val="20"/>
                <w:szCs w:val="20"/>
              </w:rPr>
              <w:t xml:space="preserve">American Community Survey — annual U.S. Census Bureau survey that produces the population, income, and household data used throughout this brief</w:t>
            </w:r>
          </w:p>
        </w:tc>
      </w:tr>
      <w:tr>
        <w:tc>
          <w:tcPr>
            <w:tcW w:type="dxa" w:w="45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AISD</w:t>
            </w:r>
          </w:p>
        </w:tc>
        <w:tc>
          <w:tcPr>
            <w:tcW w:type="dxa" w:w="45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Austin Independent School District</w:t>
            </w:r>
          </w:p>
        </w:tc>
      </w:tr>
      <w:tr>
        <w:tc>
          <w:tcPr>
            <w:tcW w:type="dxa" w:w="4500"/>
            <w:tcBorders>
              <w:top w:val="single" w:color="CCCCCC" w:sz="4"/>
              <w:left w:val="single" w:color="CCCCCC" w:sz="4"/>
              <w:bottom w:val="single" w:color="CCCCCC" w:sz="4"/>
              <w:right w:val="single" w:color="CCCCCC" w:sz="4"/>
            </w:tcBorders>
          </w:tcPr>
          <w:p>
            <w:pPr>
              <w:spacing w:after="30" w:before="30"/>
            </w:pPr>
            <w:r>
              <w:rPr>
                <w:sz w:val="20"/>
                <w:szCs w:val="20"/>
              </w:rPr>
              <w:t xml:space="preserve">BBBS</w:t>
            </w:r>
          </w:p>
        </w:tc>
        <w:tc>
          <w:tcPr>
            <w:tcW w:type="dxa" w:w="4500"/>
            <w:tcBorders>
              <w:top w:val="single" w:color="CCCCCC" w:sz="4"/>
              <w:left w:val="single" w:color="CCCCCC" w:sz="4"/>
              <w:bottom w:val="single" w:color="CCCCCC" w:sz="4"/>
              <w:right w:val="single" w:color="CCCCCC" w:sz="4"/>
            </w:tcBorders>
          </w:tcPr>
          <w:p>
            <w:pPr>
              <w:spacing w:after="30" w:before="30"/>
            </w:pPr>
            <w:r>
              <w:rPr>
                <w:sz w:val="20"/>
                <w:szCs w:val="20"/>
              </w:rPr>
              <w:t xml:space="preserve">Big Brothers Big Sisters — the parent mentor-matching organization (BBBS West Central Texas in Waco, BBBS Lone Star in Austin)</w:t>
            </w:r>
          </w:p>
        </w:tc>
      </w:tr>
      <w:tr>
        <w:tc>
          <w:tcPr>
            <w:tcW w:type="dxa" w:w="45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AAUL</w:t>
            </w:r>
          </w:p>
        </w:tc>
        <w:tc>
          <w:tcPr>
            <w:tcW w:type="dxa" w:w="45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Austin Area Urban League</w:t>
            </w:r>
          </w:p>
        </w:tc>
      </w:tr>
      <w:tr>
        <w:tc>
          <w:tcPr>
            <w:tcW w:type="dxa" w:w="4500"/>
            <w:tcBorders>
              <w:top w:val="single" w:color="CCCCCC" w:sz="4"/>
              <w:left w:val="single" w:color="CCCCCC" w:sz="4"/>
              <w:bottom w:val="single" w:color="CCCCCC" w:sz="4"/>
              <w:right w:val="single" w:color="CCCCCC" w:sz="4"/>
            </w:tcBorders>
          </w:tcPr>
          <w:p>
            <w:pPr>
              <w:spacing w:after="30" w:before="30"/>
            </w:pPr>
            <w:r>
              <w:rPr>
                <w:sz w:val="20"/>
                <w:szCs w:val="20"/>
              </w:rPr>
              <w:t xml:space="preserve">100 BMCT</w:t>
            </w:r>
          </w:p>
        </w:tc>
        <w:tc>
          <w:tcPr>
            <w:tcW w:type="dxa" w:w="4500"/>
            <w:tcBorders>
              <w:top w:val="single" w:color="CCCCCC" w:sz="4"/>
              <w:left w:val="single" w:color="CCCCCC" w:sz="4"/>
              <w:bottom w:val="single" w:color="CCCCCC" w:sz="4"/>
              <w:right w:val="single" w:color="CCCCCC" w:sz="4"/>
            </w:tcBorders>
          </w:tcPr>
          <w:p>
            <w:pPr>
              <w:spacing w:after="30" w:before="30"/>
            </w:pPr>
            <w:r>
              <w:rPr>
                <w:sz w:val="20"/>
                <w:szCs w:val="20"/>
              </w:rPr>
              <w:t xml:space="preserve">100 Black Men of Central Texas</w:t>
            </w:r>
          </w:p>
        </w:tc>
      </w:tr>
      <w:tr>
        <w:tc>
          <w:tcPr>
            <w:tcW w:type="dxa" w:w="45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CDC PLACES</w:t>
            </w:r>
          </w:p>
        </w:tc>
        <w:tc>
          <w:tcPr>
            <w:tcW w:type="dxa" w:w="45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Centers for Disease Control and Prevention's PLACES dataset — local health-burden estimates</w:t>
            </w:r>
          </w:p>
        </w:tc>
      </w:tr>
      <w:tr>
        <w:tc>
          <w:tcPr>
            <w:tcW w:type="dxa" w:w="4500"/>
            <w:tcBorders>
              <w:top w:val="single" w:color="CCCCCC" w:sz="4"/>
              <w:left w:val="single" w:color="CCCCCC" w:sz="4"/>
              <w:bottom w:val="single" w:color="CCCCCC" w:sz="4"/>
              <w:right w:val="single" w:color="CCCCCC" w:sz="4"/>
            </w:tcBorders>
          </w:tcPr>
          <w:p>
            <w:pPr>
              <w:spacing w:after="30" w:before="30"/>
            </w:pPr>
            <w:r>
              <w:rPr>
                <w:sz w:val="20"/>
                <w:szCs w:val="20"/>
              </w:rPr>
              <w:t xml:space="preserve">Disconnected youth</w:t>
            </w:r>
          </w:p>
        </w:tc>
        <w:tc>
          <w:tcPr>
            <w:tcW w:type="dxa" w:w="4500"/>
            <w:tcBorders>
              <w:top w:val="single" w:color="CCCCCC" w:sz="4"/>
              <w:left w:val="single" w:color="CCCCCC" w:sz="4"/>
              <w:bottom w:val="single" w:color="CCCCCC" w:sz="4"/>
              <w:right w:val="single" w:color="CCCCCC" w:sz="4"/>
            </w:tcBorders>
          </w:tcPr>
          <w:p>
            <w:pPr>
              <w:spacing w:after="30" w:before="30"/>
            </w:pPr>
            <w:r>
              <w:rPr>
                <w:sz w:val="20"/>
                <w:szCs w:val="20"/>
              </w:rPr>
              <w:t xml:space="preserve">Young people aged 16–24 who are neither in school nor working — a federally tracked indicator</w:t>
            </w:r>
          </w:p>
        </w:tc>
      </w:tr>
      <w:tr>
        <w:tc>
          <w:tcPr>
            <w:tcW w:type="dxa" w:w="45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Fatherhood gap</w:t>
            </w:r>
          </w:p>
        </w:tc>
        <w:tc>
          <w:tcPr>
            <w:tcW w:type="dxa" w:w="45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The estimated number of Black children in a county who are growing up in a single-parent household</w:t>
            </w:r>
          </w:p>
        </w:tc>
      </w:tr>
      <w:tr>
        <w:tc>
          <w:tcPr>
            <w:tcW w:type="dxa" w:w="4500"/>
            <w:tcBorders>
              <w:top w:val="single" w:color="CCCCCC" w:sz="4"/>
              <w:left w:val="single" w:color="CCCCCC" w:sz="4"/>
              <w:bottom w:val="single" w:color="CCCCCC" w:sz="4"/>
              <w:right w:val="single" w:color="CCCCCC" w:sz="4"/>
            </w:tcBorders>
          </w:tcPr>
          <w:p>
            <w:pPr>
              <w:spacing w:after="30" w:before="30"/>
            </w:pPr>
            <w:r>
              <w:rPr>
                <w:sz w:val="20"/>
                <w:szCs w:val="20"/>
              </w:rPr>
              <w:t xml:space="preserve">FIPS code</w:t>
            </w:r>
          </w:p>
        </w:tc>
        <w:tc>
          <w:tcPr>
            <w:tcW w:type="dxa" w:w="4500"/>
            <w:tcBorders>
              <w:top w:val="single" w:color="CCCCCC" w:sz="4"/>
              <w:left w:val="single" w:color="CCCCCC" w:sz="4"/>
              <w:bottom w:val="single" w:color="CCCCCC" w:sz="4"/>
              <w:right w:val="single" w:color="CCCCCC" w:sz="4"/>
            </w:tcBorders>
          </w:tcPr>
          <w:p>
            <w:pPr>
              <w:spacing w:after="30" w:before="30"/>
            </w:pPr>
            <w:r>
              <w:rPr>
                <w:sz w:val="20"/>
                <w:szCs w:val="20"/>
              </w:rPr>
              <w:t xml:space="preserve">Federal Information Processing Standard county code (48309 = McLennan County, 48453 = Travis County)</w:t>
            </w:r>
          </w:p>
        </w:tc>
      </w:tr>
      <w:tr>
        <w:tc>
          <w:tcPr>
            <w:tcW w:type="dxa" w:w="45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HHSC</w:t>
            </w:r>
          </w:p>
        </w:tc>
        <w:tc>
          <w:tcPr>
            <w:tcW w:type="dxa" w:w="45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Texas Health and Human Services Commission</w:t>
            </w:r>
          </w:p>
        </w:tc>
      </w:tr>
      <w:tr>
        <w:tc>
          <w:tcPr>
            <w:tcW w:type="dxa" w:w="4500"/>
            <w:tcBorders>
              <w:top w:val="single" w:color="CCCCCC" w:sz="4"/>
              <w:left w:val="single" w:color="CCCCCC" w:sz="4"/>
              <w:bottom w:val="single" w:color="CCCCCC" w:sz="4"/>
              <w:right w:val="single" w:color="CCCCCC" w:sz="4"/>
            </w:tcBorders>
          </w:tcPr>
          <w:p>
            <w:pPr>
              <w:spacing w:after="30" w:before="30"/>
            </w:pPr>
            <w:r>
              <w:rPr>
                <w:sz w:val="20"/>
                <w:szCs w:val="20"/>
              </w:rPr>
              <w:t xml:space="preserve">LAUS</w:t>
            </w:r>
          </w:p>
        </w:tc>
        <w:tc>
          <w:tcPr>
            <w:tcW w:type="dxa" w:w="4500"/>
            <w:tcBorders>
              <w:top w:val="single" w:color="CCCCCC" w:sz="4"/>
              <w:left w:val="single" w:color="CCCCCC" w:sz="4"/>
              <w:bottom w:val="single" w:color="CCCCCC" w:sz="4"/>
              <w:right w:val="single" w:color="CCCCCC" w:sz="4"/>
            </w:tcBorders>
          </w:tcPr>
          <w:p>
            <w:pPr>
              <w:spacing w:after="30" w:before="30"/>
            </w:pPr>
            <w:r>
              <w:rPr>
                <w:sz w:val="20"/>
                <w:szCs w:val="20"/>
              </w:rPr>
              <w:t xml:space="preserve">Local Area Unemployment Statistics — U.S. Bureau of Labor Statistics dataset</w:t>
            </w:r>
          </w:p>
        </w:tc>
      </w:tr>
      <w:tr>
        <w:tc>
          <w:tcPr>
            <w:tcW w:type="dxa" w:w="45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Mentor gap</w:t>
            </w:r>
          </w:p>
        </w:tc>
        <w:tc>
          <w:tcPr>
            <w:tcW w:type="dxa" w:w="45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The estimated number of Black-male mentors needed to meet the demand from single-parent Black households (calculated as black-children-in-single-parent-households × 22% active mentor demand)</w:t>
            </w:r>
          </w:p>
        </w:tc>
      </w:tr>
      <w:tr>
        <w:tc>
          <w:tcPr>
            <w:tcW w:type="dxa" w:w="4500"/>
            <w:tcBorders>
              <w:top w:val="single" w:color="CCCCCC" w:sz="4"/>
              <w:left w:val="single" w:color="CCCCCC" w:sz="4"/>
              <w:bottom w:val="single" w:color="CCCCCC" w:sz="4"/>
              <w:right w:val="single" w:color="CCCCCC" w:sz="4"/>
            </w:tcBorders>
          </w:tcPr>
          <w:p>
            <w:pPr>
              <w:spacing w:after="30" w:before="30"/>
            </w:pPr>
            <w:r>
              <w:rPr>
                <w:sz w:val="20"/>
                <w:szCs w:val="20"/>
              </w:rPr>
              <w:t xml:space="preserve">MISD / DVISD / PfISD</w:t>
            </w:r>
          </w:p>
        </w:tc>
        <w:tc>
          <w:tcPr>
            <w:tcW w:type="dxa" w:w="4500"/>
            <w:tcBorders>
              <w:top w:val="single" w:color="CCCCCC" w:sz="4"/>
              <w:left w:val="single" w:color="CCCCCC" w:sz="4"/>
              <w:bottom w:val="single" w:color="CCCCCC" w:sz="4"/>
              <w:right w:val="single" w:color="CCCCCC" w:sz="4"/>
            </w:tcBorders>
          </w:tcPr>
          <w:p>
            <w:pPr>
              <w:spacing w:after="30" w:before="30"/>
            </w:pPr>
            <w:r>
              <w:rPr>
                <w:sz w:val="20"/>
                <w:szCs w:val="20"/>
              </w:rPr>
              <w:t xml:space="preserve">Manor / Del Valle / Pflugerville Independent School Districts (suburban Austin districts)</w:t>
            </w:r>
          </w:p>
        </w:tc>
      </w:tr>
      <w:tr>
        <w:tc>
          <w:tcPr>
            <w:tcW w:type="dxa" w:w="45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SDOH</w:t>
            </w:r>
          </w:p>
        </w:tc>
        <w:tc>
          <w:tcPr>
            <w:tcW w:type="dxa" w:w="45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Social Determinants of Health — non-medical conditions (housing, income, education, food access) that shape health outcomes</w:t>
            </w:r>
          </w:p>
        </w:tc>
      </w:tr>
      <w:tr>
        <w:tc>
          <w:tcPr>
            <w:tcW w:type="dxa" w:w="4500"/>
            <w:tcBorders>
              <w:top w:val="single" w:color="CCCCCC" w:sz="4"/>
              <w:left w:val="single" w:color="CCCCCC" w:sz="4"/>
              <w:bottom w:val="single" w:color="CCCCCC" w:sz="4"/>
              <w:right w:val="single" w:color="CCCCCC" w:sz="4"/>
            </w:tcBorders>
          </w:tcPr>
          <w:p>
            <w:pPr>
              <w:spacing w:after="30" w:before="30"/>
            </w:pPr>
            <w:r>
              <w:rPr>
                <w:sz w:val="20"/>
                <w:szCs w:val="20"/>
              </w:rPr>
              <w:t xml:space="preserve">SVI</w:t>
            </w:r>
          </w:p>
        </w:tc>
        <w:tc>
          <w:tcPr>
            <w:tcW w:type="dxa" w:w="4500"/>
            <w:tcBorders>
              <w:top w:val="single" w:color="CCCCCC" w:sz="4"/>
              <w:left w:val="single" w:color="CCCCCC" w:sz="4"/>
              <w:bottom w:val="single" w:color="CCCCCC" w:sz="4"/>
              <w:right w:val="single" w:color="CCCCCC" w:sz="4"/>
            </w:tcBorders>
          </w:tcPr>
          <w:p>
            <w:pPr>
              <w:spacing w:after="30" w:before="30"/>
            </w:pPr>
            <w:r>
              <w:rPr>
                <w:sz w:val="20"/>
                <w:szCs w:val="20"/>
              </w:rPr>
              <w:t xml:space="preserve">Social Vulnerability Index — Centers for Disease Control measure of how vulnerable a community is to disasters and chronic stress; reported as a percentile (higher = more vulnerable)</w:t>
            </w:r>
          </w:p>
        </w:tc>
      </w:tr>
      <w:tr>
        <w:tc>
          <w:tcPr>
            <w:tcW w:type="dxa" w:w="45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TAPR</w:t>
            </w:r>
          </w:p>
        </w:tc>
        <w:tc>
          <w:tcPr>
            <w:tcW w:type="dxa" w:w="45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Texas Academic Performance Report — annual public report from the Texas Education Agency that includes district-level student-discipline data</w:t>
            </w:r>
          </w:p>
        </w:tc>
      </w:tr>
      <w:tr>
        <w:tc>
          <w:tcPr>
            <w:tcW w:type="dxa" w:w="4500"/>
            <w:tcBorders>
              <w:top w:val="single" w:color="CCCCCC" w:sz="4"/>
              <w:left w:val="single" w:color="CCCCCC" w:sz="4"/>
              <w:bottom w:val="single" w:color="CCCCCC" w:sz="4"/>
              <w:right w:val="single" w:color="CCCCCC" w:sz="4"/>
            </w:tcBorders>
          </w:tcPr>
          <w:p>
            <w:pPr>
              <w:spacing w:after="30" w:before="30"/>
            </w:pPr>
            <w:r>
              <w:rPr>
                <w:sz w:val="20"/>
                <w:szCs w:val="20"/>
              </w:rPr>
              <w:t xml:space="preserve">TCAF</w:t>
            </w:r>
          </w:p>
        </w:tc>
        <w:tc>
          <w:tcPr>
            <w:tcW w:type="dxa" w:w="4500"/>
            <w:tcBorders>
              <w:top w:val="single" w:color="CCCCCC" w:sz="4"/>
              <w:left w:val="single" w:color="CCCCCC" w:sz="4"/>
              <w:bottom w:val="single" w:color="CCCCCC" w:sz="4"/>
              <w:right w:val="single" w:color="CCCCCC" w:sz="4"/>
            </w:tcBorders>
          </w:tcPr>
          <w:p>
            <w:pPr>
              <w:spacing w:after="30" w:before="30"/>
            </w:pPr>
            <w:r>
              <w:rPr>
                <w:sz w:val="20"/>
                <w:szCs w:val="20"/>
              </w:rPr>
              <w:t xml:space="preserve">The Collaborative Advocate Foundation</w:t>
            </w:r>
          </w:p>
        </w:tc>
      </w:tr>
      <w:tr>
        <w:tc>
          <w:tcPr>
            <w:tcW w:type="dxa" w:w="45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TEA</w:t>
            </w:r>
          </w:p>
        </w:tc>
        <w:tc>
          <w:tcPr>
            <w:tcW w:type="dxa" w:w="45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Texas Education Agency</w:t>
            </w:r>
          </w:p>
        </w:tc>
      </w:tr>
      <w:tr>
        <w:tc>
          <w:tcPr>
            <w:tcW w:type="dxa" w:w="4500"/>
            <w:tcBorders>
              <w:top w:val="single" w:color="CCCCCC" w:sz="4"/>
              <w:left w:val="single" w:color="CCCCCC" w:sz="4"/>
              <w:bottom w:val="single" w:color="CCCCCC" w:sz="4"/>
              <w:right w:val="single" w:color="CCCCCC" w:sz="4"/>
            </w:tcBorders>
          </w:tcPr>
          <w:p>
            <w:pPr>
              <w:spacing w:after="30" w:before="30"/>
            </w:pPr>
            <w:r>
              <w:rPr>
                <w:sz w:val="20"/>
                <w:szCs w:val="20"/>
              </w:rPr>
              <w:t xml:space="preserve">TJJD</w:t>
            </w:r>
          </w:p>
        </w:tc>
        <w:tc>
          <w:tcPr>
            <w:tcW w:type="dxa" w:w="4500"/>
            <w:tcBorders>
              <w:top w:val="single" w:color="CCCCCC" w:sz="4"/>
              <w:left w:val="single" w:color="CCCCCC" w:sz="4"/>
              <w:bottom w:val="single" w:color="CCCCCC" w:sz="4"/>
              <w:right w:val="single" w:color="CCCCCC" w:sz="4"/>
            </w:tcBorders>
          </w:tcPr>
          <w:p>
            <w:pPr>
              <w:spacing w:after="30" w:before="30"/>
            </w:pPr>
            <w:r>
              <w:rPr>
                <w:sz w:val="20"/>
                <w:szCs w:val="20"/>
              </w:rPr>
              <w:t xml:space="preserve">Texas Juvenile Justice Department</w:t>
            </w:r>
          </w:p>
        </w:tc>
      </w:tr>
      <w:tr>
        <w:tc>
          <w:tcPr>
            <w:tcW w:type="dxa" w:w="45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TWC</w:t>
            </w:r>
          </w:p>
        </w:tc>
        <w:tc>
          <w:tcPr>
            <w:tcW w:type="dxa" w:w="4500"/>
            <w:tcBorders>
              <w:top w:val="single" w:color="CCCCCC" w:sz="4"/>
              <w:left w:val="single" w:color="CCCCCC" w:sz="4"/>
              <w:bottom w:val="single" w:color="CCCCCC" w:sz="4"/>
              <w:right w:val="single" w:color="CCCCCC" w:sz="4"/>
            </w:tcBorders>
            <w:shd w:fill="F2F2F2"/>
          </w:tcPr>
          <w:p>
            <w:pPr>
              <w:spacing w:after="30" w:before="30"/>
            </w:pPr>
            <w:r>
              <w:rPr>
                <w:sz w:val="20"/>
                <w:szCs w:val="20"/>
              </w:rPr>
              <w:t xml:space="preserve">Texas Workforce Commission</w:t>
            </w:r>
          </w:p>
        </w:tc>
      </w:tr>
      <w:tr>
        <w:tc>
          <w:tcPr>
            <w:tcW w:type="dxa" w:w="4500"/>
            <w:tcBorders>
              <w:top w:val="single" w:color="CCCCCC" w:sz="4"/>
              <w:left w:val="single" w:color="CCCCCC" w:sz="4"/>
              <w:bottom w:val="single" w:color="CCCCCC" w:sz="4"/>
              <w:right w:val="single" w:color="CCCCCC" w:sz="4"/>
            </w:tcBorders>
          </w:tcPr>
          <w:p>
            <w:pPr>
              <w:spacing w:after="30" w:before="30"/>
            </w:pPr>
            <w:r>
              <w:rPr>
                <w:sz w:val="20"/>
                <w:szCs w:val="20"/>
              </w:rPr>
              <w:t xml:space="preserve">USDA Food Access Research Atlas</w:t>
            </w:r>
          </w:p>
        </w:tc>
        <w:tc>
          <w:tcPr>
            <w:tcW w:type="dxa" w:w="4500"/>
            <w:tcBorders>
              <w:top w:val="single" w:color="CCCCCC" w:sz="4"/>
              <w:left w:val="single" w:color="CCCCCC" w:sz="4"/>
              <w:bottom w:val="single" w:color="CCCCCC" w:sz="4"/>
              <w:right w:val="single" w:color="CCCCCC" w:sz="4"/>
            </w:tcBorders>
          </w:tcPr>
          <w:p>
            <w:pPr>
              <w:spacing w:after="30" w:before="30"/>
            </w:pPr>
            <w:r>
              <w:rPr>
                <w:sz w:val="20"/>
                <w:szCs w:val="20"/>
              </w:rPr>
              <w:t xml:space="preserve">U.S. Department of Agriculture dataset that flags whether a census tract qualifies as a food desert</w:t>
            </w:r>
          </w:p>
        </w:tc>
      </w:tr>
    </w:tbl>
    <w:p>
      <w:pPr>
        <w:spacing w:after="60" w:before="60"/>
      </w:pPr>
      <w:r>
        <w:rPr>
          <w:sz w:val="22"/>
          <w:szCs w:val="22"/>
        </w:rPr>
        <w:t xml:space="preserve"/>
      </w:r>
    </w:p>
    <w:p>
      <w:pPr>
        <w:spacing w:after="60" w:before="60"/>
        <w:jc w:val="center"/>
      </w:pPr>
      <w:r>
        <w:rPr>
          <w:i/>
          <w:iCs/>
          <w:color w:val="5A5A5A"/>
          <w:sz w:val="18"/>
          <w:szCs w:val="18"/>
        </w:rPr>
        <w:t xml:space="preserve">This assessment is generated from live, audit-traceable data. Numbers may update as federal and state sources refresh.</w:t>
      </w:r>
    </w:p>
    <w:p>
      <w:pPr>
        <w:spacing w:after="60" w:before="60"/>
        <w:jc w:val="center"/>
      </w:pPr>
      <w:r>
        <w:rPr>
          <w:i/>
          <w:iCs/>
          <w:color w:val="5A5A5A"/>
          <w:sz w:val="18"/>
          <w:szCs w:val="18"/>
        </w:rPr>
        <w:t xml:space="preserve">Prepared by ThriveUp Academy &amp; The Collaborative Advocate Foundation — thrivingcommunitiesforall.com</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8"/>
        <w:szCs w:val="18"/>
      </w:rPr>
      <w:t xml:space="preserve">I-35 Corridor Assessment — Page </w:t>
    </w:r>
    <w:r>
      <w:rPr>
        <w:color w:val="5A5A5A"/>
        <w:sz w:val="18"/>
        <w:szCs w:val="18"/>
      </w:rPr>
      <w:fldChar w:fldCharType="begin"/>
      <w:instrText xml:space="preserve">PAGE</w:instrText>
      <w:fldChar w:fldCharType="separate"/>
      <w:fldChar w:fldCharType="end"/>
    </w:r>
    <w:r>
      <w:rPr>
        <w:color w:val="5A5A5A"/>
        <w:sz w:val="18"/>
        <w:szCs w:val="18"/>
      </w:rPr>
      <w:t xml:space="preserve"> of </w:t>
    </w:r>
    <w:r>
      <w:rPr>
        <w:color w:val="5A5A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I-35 Corridor Black-Youth Fatherhood &amp; Mentorship Gap Assessment</dc:title>
  <dc:creator>ThriveUp Academy / TCAF</dc:creator>
  <dc:description>Plain-language Waco↔Austin corridor assessment with verified data lineage</dc:description>
  <cp:lastModifiedBy>Un-named</cp:lastModifiedBy>
  <cp:revision>1</cp:revision>
  <dcterms:created xsi:type="dcterms:W3CDTF">2026-04-20T19:38:38.052Z</dcterms:created>
  <dcterms:modified xsi:type="dcterms:W3CDTF">2026-04-20T19:38:38.052Z</dcterms:modified>
</cp:coreProperties>
</file>

<file path=docProps/custom.xml><?xml version="1.0" encoding="utf-8"?>
<Properties xmlns="http://schemas.openxmlformats.org/officeDocument/2006/custom-properties" xmlns:vt="http://schemas.openxmlformats.org/officeDocument/2006/docPropsVTypes"/>
</file>