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360"/>
        <w:jc w:val="left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Strategic Analysis of RFP #26-0028 Addendum #2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</w:t>
      </w:r>
      <w:r>
        <w:rPr>
          <w:rFonts w:ascii="Calibri" w:cs="Calibri" w:eastAsia="Calibri" w:hAnsi="Calibri"/>
          <w:sz w:val="22"/>
          <w:szCs w:val="22"/>
        </w:rPr>
        <w:t xml:space="preserve"> Sedgwick County Addendum #2 — Issued May 22, 2026 by Tammy Culley, Purchasing Agent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</w:t>
      </w:r>
      <w:r>
        <w:rPr>
          <w:rFonts w:ascii="Calibri" w:cs="Calibri" w:eastAsia="Calibri" w:hAnsi="Calibri"/>
          <w:sz w:val="22"/>
          <w:szCs w:val="22"/>
        </w:rPr>
        <w:t xml:space="preserve"> Eric Hargrave, CEO — Hargrave Innovative Solutions (Prime Contractor)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For:</w:t>
      </w:r>
      <w:r>
        <w:rPr>
          <w:rFonts w:ascii="Calibri" w:cs="Calibri" w:eastAsia="Calibri" w:hAnsi="Calibri"/>
          <w:sz w:val="22"/>
          <w:szCs w:val="22"/>
        </w:rPr>
        <w:t xml:space="preserve"> Vitality Proposal Team — Love Clinic MedSpa · Vanntastic Solutions · The COLLABORATIVE Advocate Foundation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</w:t>
      </w:r>
      <w:r>
        <w:rPr>
          <w:rFonts w:ascii="Calibri" w:cs="Calibri" w:eastAsia="Calibri" w:hAnsi="Calibri"/>
          <w:sz w:val="22"/>
          <w:szCs w:val="22"/>
        </w:rPr>
        <w:t xml:space="preserve"> Document the strategic conclusions the Vitality proposal team drew from Addendum #2, and the operational changes those conclusions drive in our proposal response to RFP #26-0028.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88888" w:sz="6" w:space="1"/>
        </w:pBdr>
        <w:spacing w:after="120" w:before="120"/>
      </w:pP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1. The GLP-1 number is the entire story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Addendum #2 disclosed three numbers that, together, reframe the entire proposal: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373 members are currently on GLP-1 medications</w:t>
      </w:r>
      <w:r>
        <w:rPr>
          <w:rFonts w:ascii="Calibri" w:cs="Calibri" w:eastAsia="Calibri" w:hAnsi="Calibri"/>
          <w:sz w:val="22"/>
          <w:szCs w:val="22"/>
        </w:rPr>
        <w:t xml:space="preserve"> through the County's medical plan.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705 members used a GLP-1 in the past 12 months.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County's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current GLP-1 cost-containment tool is OptumRx prior authorization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Three observations follow: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The County is already spending heavily on GLP-1 medications.</w:t>
      </w:r>
      <w:r>
        <w:rPr>
          <w:rFonts w:ascii="Calibri" w:cs="Calibri" w:eastAsia="Calibri" w:hAnsi="Calibri"/>
          <w:sz w:val="22"/>
          <w:szCs w:val="22"/>
        </w:rPr>
        <w:t xml:space="preserve"> At the conservative unmanaged rate of $13,800/patient/year (RAND Corporation, 2023), 373 current members represent approximately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$5.15M per year in GLP-1 pharmacy spend</w:t>
      </w:r>
      <w:r>
        <w:rPr>
          <w:rFonts w:ascii="Calibri" w:cs="Calibri" w:eastAsia="Calibri" w:hAnsi="Calibri"/>
          <w:sz w:val="22"/>
          <w:szCs w:val="22"/>
        </w:rPr>
        <w:t xml:space="preserve"> with zero clinical wraparound.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The 47% attrition rate is the smoking gun.</w:t>
      </w:r>
      <w:r>
        <w:rPr>
          <w:rFonts w:ascii="Calibri" w:cs="Calibri" w:eastAsia="Calibri" w:hAnsi="Calibri"/>
          <w:sz w:val="22"/>
          <w:szCs w:val="22"/>
        </w:rPr>
        <w:t xml:space="preserve"> 705 members started a GLP-1 in the past twelve months but only 373 are on therapy today. That ~47% discontinuation rate is the textbook signature of unmanaged GLP-1 therapy: side effects without titration support, no behavioral coaching, no clinical follow-up. Each member who drops off has consumed pharmacy dollars without achieving sustained outcomes.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(c) The managed-protocol savings opportunity is ~$2.09M per year.</w:t>
      </w:r>
      <w:r>
        <w:rPr>
          <w:rFonts w:ascii="Calibri" w:cs="Calibri" w:eastAsia="Calibri" w:hAnsi="Calibri"/>
          <w:sz w:val="22"/>
          <w:szCs w:val="22"/>
        </w:rPr>
        <w:t xml:space="preserve"> At RAND's conservative figure of $5,600 saved per patient moved from unmanaged to managed GLP-1 therapy, migrating the 373 current users captures approximately $2.09M/year. That single line item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nearly funds the entire Year-1 Vitality program cost of $1.71M</w:t>
      </w:r>
      <w:r>
        <w:rPr>
          <w:rFonts w:ascii="Calibri" w:cs="Calibri" w:eastAsia="Calibri" w:hAnsi="Calibri"/>
          <w:sz w:val="22"/>
          <w:szCs w:val="22"/>
        </w:rPr>
        <w:t xml:space="preserve"> at the lifestyle pathway baseline.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implication:</w:t>
      </w:r>
      <w:r>
        <w:rPr>
          <w:rFonts w:ascii="Calibri" w:cs="Calibri" w:eastAsia="Calibri" w:hAnsi="Calibri"/>
          <w:sz w:val="22"/>
          <w:szCs w:val="22"/>
        </w:rPr>
        <w:t xml:space="preserve"> The Vitality executive summary, ROI section, and pricing model are all reorganized around the $2.09M GLP-1 capture as the headline economic argument. Generic obesity-population ROI math is retained as supporting evidence, not as the lead.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88888" w:sz="6" w:space="1"/>
        </w:pBdr>
        <w:spacing w:after="120" w:before="120"/>
      </w:pP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2. The County has named its own incumbent strategy as insufficient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Addendum states verbatim: *"Current cost containment is tied to prior authorization program with PBM."*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That is the County's only existing GLP-1 cost-control tool today. The 47% attrition rate demonstrates that prior authorization, on its own, is not delivering sustained value: it gates approval at the moment of prescription, but does nothing to keep members on therapy, manage side effects, support behavioral change, or convert pharmacy spend into measurable health outcomes.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Addendum further clarifies the County's preference: *"A broader support-focused program centered around outcomes, health coaching participation, and sustainable lifestyle changes."* The County explicitly rejected a compliance-focused program.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implication:</w:t>
      </w:r>
      <w:r>
        <w:rPr>
          <w:rFonts w:ascii="Calibri" w:cs="Calibri" w:eastAsia="Calibri" w:hAnsi="Calibri"/>
          <w:sz w:val="22"/>
          <w:szCs w:val="22"/>
        </w:rPr>
        <w:t xml:space="preserve"> Any competing vendor whose value proposition is "we will deny more claims" or "we will tighten prior authorization" is misaligned with what the County asked for. Vitality's coaching-plus-clinical wraparound model is the direct antidote to the failure mode the County itself identified.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88888" w:sz="6" w:space="1"/>
        </w:pBdr>
        <w:spacing w:after="120" w:before="120"/>
      </w:pP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 The County is buying program design, not administration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Addendum confirms: *"Recommend and design a comprehensive solution."*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County is not procuring a turnkey SaaS tool — it is procuring a designed program. The four-partner Vitality team (clinical, wellness, digital platform, and prime contractor) is purpose-built for this scope.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Addendum also confirmed that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either clinical model is acceptable</w:t>
      </w:r>
      <w:r>
        <w:rPr>
          <w:rFonts w:ascii="Calibri" w:cs="Calibri" w:eastAsia="Calibri" w:hAnsi="Calibri"/>
          <w:sz w:val="22"/>
          <w:szCs w:val="22"/>
        </w:rPr>
        <w:t xml:space="preserve">: prescribing physicians employed by the vendor, OR NBHWC-credentialed coaches supporting members' existing prescribers. Vitality offers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within a single integrated program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Dr. Chela Love, DNP</w:t>
      </w:r>
      <w:r>
        <w:rPr>
          <w:rFonts w:ascii="Calibri" w:cs="Calibri" w:eastAsia="Calibri" w:hAnsi="Calibri"/>
          <w:sz w:val="22"/>
          <w:szCs w:val="22"/>
        </w:rPr>
        <w:t xml:space="preserve"> (Love Clinic MedSpa) serves as the prescribing clinical lead for members who prefer in-program prescribing and protocol-driven titration.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Dr. J. Michelle Vann, Dcc, ThD, MS</w:t>
      </w:r>
      <w:r>
        <w:rPr>
          <w:rFonts w:ascii="Calibri" w:cs="Calibri" w:eastAsia="Calibri" w:hAnsi="Calibri"/>
          <w:sz w:val="22"/>
          <w:szCs w:val="22"/>
        </w:rPr>
        <w:t xml:space="preserve"> (Vanntastic Solutions) leads the behavioral coaching model for members who prefer to stay with their existing primary care provider.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implication:</w:t>
      </w:r>
      <w:r>
        <w:rPr>
          <w:rFonts w:ascii="Calibri" w:cs="Calibri" w:eastAsia="Calibri" w:hAnsi="Calibri"/>
          <w:sz w:val="22"/>
          <w:szCs w:val="22"/>
        </w:rPr>
        <w:t xml:space="preserve"> This is a flexibility differentiator that most competing vendors will not match. We lead the clinical-design section of the proposal with this dual-pathway choice, framed as member-centric rather than vendor-centric.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88888" w:sz="6" w:space="1"/>
        </w:pBdr>
        <w:spacing w:after="120" w:before="120"/>
      </w:pP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 The eligible population is materially larger than typical estimates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0F4C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3%"/>
            <w:shd w:fill="0F4C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County figure (Addendum #2)</w:t>
            </w:r>
          </w:p>
        </w:tc>
        <w:tc>
          <w:tcPr>
            <w:tcW w:type="pct" w:w="33%"/>
            <w:shd w:fill="0F4C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members enrolled on County medical plans (all ages)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5,871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Addendum #2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Eligible adult population (EE + dependents 18+)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4,213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Addendum #2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Female share of population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53%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Addendum #2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Currently on GLP-1 medication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373 (6.3% of enrolled)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Addendum #2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GLP-1 in past 12 months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705 (12.0% of enrolled)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Addendum #2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CDC PLACES county obesity prevalence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36.2%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CDC PLACES 2023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Modeled at-risk adult population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~1,525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Derived: 4,213 × 36.2%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Vitality enrollment (35% of at-risk)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534 members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Industry-standard voluntary uptake with employer incentive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Year-1 program cost at lifestyle baseline ($3,200/member)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~$1.71M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Vitality reconciled pricing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Status-quo cost of 1,525 at-risk adults with no intervention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~$4.02M/yr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Derived: 1,525 × $2,639 medical + productivity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Addendum also disclosed: *"BMI ≥ 30 count: information unavailable through carrier."* This is significant. Any vendor claiming precise BMI-distribution-based outcome forecasts is bluffing — the source data does not exist within the carrier's reporting. Vitality's CDC PLACES anchored modeling is the only defensible approach in the absence of direct claims data.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implication:</w:t>
      </w:r>
      <w:r>
        <w:rPr>
          <w:rFonts w:ascii="Calibri" w:cs="Calibri" w:eastAsia="Calibri" w:hAnsi="Calibri"/>
          <w:sz w:val="22"/>
          <w:szCs w:val="22"/>
        </w:rPr>
        <w:t xml:space="preserve"> Our methodology section explicitly acknowledges the BMI-data limitation and explains why CDC PLACES county-level prevalence is the conservative, evaluator-defensible substitute. Competitors who claim BMI-precise forecasts open themselves to challenge.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88888" w:sz="6" w:space="1"/>
        </w:pBdr>
        <w:spacing w:after="120" w:before="120"/>
      </w:pP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5. The competitive landscape is now fully visible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F4C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Addendum confirmed</w:t>
            </w:r>
          </w:p>
        </w:tc>
        <w:tc>
          <w:tcPr>
            <w:tcW w:type="pct" w:w="50%"/>
            <w:shd w:fill="0F4C8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Strategic implication for Vitality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incumbent weight-management vendor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 greenfield. No displacement story to fight. The Vitality vs. status-quo framing dominates.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Broker of record: IMA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 will be present in the evaluation room. We engage them as a partner, not a gatekeeper, and provide IMA-facing economic summaries.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wellness platform: Rally (via UHC)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 coexist with Rally as a clinical and engagement layer — Rally serves the general wellness population; Vitality serves the obesity and GLP-1 sub-population. Our integration narrative is "complement, not replace."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TPA: UnitedHealthcare (self-insured Group #902769)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Known integration surfaces. UHC supports FHIR R4 for eligibility and claims feeds. Integration risk is low; timeline is predictable.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PBM: OptumRx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pharmacy data feeds available. Our GLP-1 utilization reporting requires OptumRx authorization-status and fill-history feeds, both well-precedented.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fixed budget; "focused on cost savings"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value-based, ROI-anchored pitch wins. The proposal leads with the $2.09M GLP-1 capture as the price-anchor.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 delivery: virtual only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Aligns perfectly with Vitality's PWA-native model. Competitors proposing onsite-heavy delivery will be overspending against the County's stated preference.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Adults 18+ only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Simplifies clinical pathway scope; no pediatric protocols required.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"Network Access" evaluation criterion = integration capability, not provider network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County clarified this directly. We reframe the section as a Vitality strength: integration with UHC + OptumRx + Rally + HRIS is our differentiator.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88888" w:sz="6" w:space="1"/>
        </w:pBdr>
        <w:spacing w:after="120" w:before="120"/>
      </w:pP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6. The KPIs the County named, in order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Addendum #2 named three KPIs, in this exact order: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Continued member engagement</w:t>
      </w:r>
      <w:r>
        <w:rPr>
          <w:rFonts w:ascii="Calibri" w:cs="Calibri" w:eastAsia="Calibri" w:hAnsi="Calibri"/>
          <w:sz w:val="22"/>
          <w:szCs w:val="22"/>
        </w:rPr>
        <w:t xml:space="preserve"> — Vitality response: VITA AI persistent-memory advisor + Dr. Vann's behavioral coaching cadence + a weekly check-in protocol with automated escalation for disengagement at 14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 use of GLP-1 medications</w:t>
      </w:r>
      <w:r>
        <w:rPr>
          <w:rFonts w:ascii="Calibri" w:cs="Calibri" w:eastAsia="Calibri" w:hAnsi="Calibri"/>
          <w:sz w:val="22"/>
          <w:szCs w:val="22"/>
        </w:rPr>
        <w:t xml:space="preserve"> — Vitality response: Dr. Love's clinical protocol with structured titration, side-effect management, adherence monitoring, and OptumRx-integrated fill-history reconciliation.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 savings</w:t>
      </w:r>
      <w:r>
        <w:rPr>
          <w:rFonts w:ascii="Calibri" w:cs="Calibri" w:eastAsia="Calibri" w:hAnsi="Calibri"/>
          <w:sz w:val="22"/>
          <w:szCs w:val="22"/>
        </w:rPr>
        <w:t xml:space="preserve"> — Vitality response: $2.09M GLP-1 capture (managed protocol) + $675K medical savings (DPP-validated) + $282K productivity savings (RAND)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$3.05M Year-1 economic opportunity against $1.71M program cost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Notably absent from the County's KPI language: weight-loss percentages, BMI reduction targets, specific clinical biomarkers. The County views those as *means*, not *ends*.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implication:</w:t>
      </w:r>
      <w:r>
        <w:rPr>
          <w:rFonts w:ascii="Calibri" w:cs="Calibri" w:eastAsia="Calibri" w:hAnsi="Calibri"/>
          <w:sz w:val="22"/>
          <w:szCs w:val="22"/>
        </w:rPr>
        <w:t xml:space="preserve"> Vitality's reporting framework presents weight-loss and clinical outcomes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drivers</w:t>
      </w:r>
      <w:r>
        <w:rPr>
          <w:rFonts w:ascii="Calibri" w:cs="Calibri" w:eastAsia="Calibri" w:hAnsi="Calibri"/>
          <w:sz w:val="22"/>
          <w:szCs w:val="22"/>
        </w:rPr>
        <w:t xml:space="preserve"> of the three County KPIs, never as standalone metrics. Every dashboard, every quarterly report, every executive briefing leads with engagement, GLP-1 utilization, and savings — in that order.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88888" w:sz="6" w:space="1"/>
        </w:pBdr>
        <w:spacing w:after="120" w:before="120"/>
      </w:pP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7. Procurement process facts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Addendum #2 was signed by Tammy Culley, Purchasing Agent.</w:t>
      </w:r>
      <w:r>
        <w:rPr>
          <w:rFonts w:ascii="Calibri" w:cs="Calibri" w:eastAsia="Calibri" w:hAnsi="Calibri"/>
          <w:sz w:val="22"/>
          <w:szCs w:val="22"/>
        </w:rPr>
        <w:t xml:space="preserve"> All proposal-related communication will route through Ms. Culley exclusively. No outreach to the County Manager's office, Risk Management, Human Resources, or the Board of County Commissioners regarding this solicitation.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Acknowledgment of Addendum #2 on the RFP response page is mandatory.</w:t>
      </w:r>
      <w:r>
        <w:rPr>
          <w:rFonts w:ascii="Calibri" w:cs="Calibri" w:eastAsia="Calibri" w:hAnsi="Calibri"/>
          <w:sz w:val="22"/>
          <w:szCs w:val="22"/>
        </w:rPr>
        <w:t xml:space="preserve"> A signed acknowledgment is included as Appendix C of the Vitality proposal.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Deadline: 1:45 PM CDT, June 2, 2026.</w:t>
      </w:r>
      <w:r>
        <w:rPr>
          <w:rFonts w:ascii="Calibri" w:cs="Calibri" w:eastAsia="Calibri" w:hAnsi="Calibri"/>
          <w:sz w:val="22"/>
          <w:szCs w:val="22"/>
        </w:rPr>
        <w:t xml:space="preserve"> No late acceptance.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88888" w:sz="6" w:space="1"/>
        </w:pBdr>
        <w:spacing w:after="120" w:before="120"/>
      </w:pP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Summary — the three-sentence thesis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0F4C81" w:sz="12" w:space="12"/>
        </w:pBdr>
        <w:spacing w:after="100" w:before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Sedgwick County is already spending approximately $5.15M per year on unmanaged GLP-1 medications for 373 employees and dependents, with a ~47% twelve-month attrition rate that demonstrates prior authorization alone is not working. Vitality's integrated clinical-plus-coaching managed-care protocol can capture approximately $2.09M per year of that spend in Year 1 — nearly funding the entire program — while delivering a sustainable lifestyle change pathway for the broader 1,525 at-risk adult population. We build with, not against, UnitedHealthcare, OptumRx, and Rally; we displace no existing vendor; and we are the only respondent purpose-built for the four-partner program design model the County asked for.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Every section of the Vitality proposal supports this thesis.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Analysis — RFP #26-0028 Addendum #2</dc:title>
  <dc:creator>Hargrave Innovative Solutions</dc:creator>
  <dc:description>Strategic Analysis — RFP #26-0028 Addendum #2</dc:description>
  <cp:lastModifiedBy>Un-named</cp:lastModifiedBy>
  <cp:revision>1</cp:revision>
  <dcterms:created xsi:type="dcterms:W3CDTF">2026-05-23T18:16:57.175Z</dcterms:created>
  <dcterms:modified xsi:type="dcterms:W3CDTF">2026-05-23T18:16:57.175Z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