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 w:before="360"/>
        <w:jc w:val="left"/>
      </w:pPr>
      <w:r>
        <w:rPr>
          <w:rFonts w:ascii="Calibri" w:cs="Calibri" w:eastAsia="Calibri" w:hAnsi="Calibri"/>
          <w:b/>
          <w:bCs/>
          <w:color w:val="0F4C81"/>
          <w:sz w:val="36"/>
          <w:szCs w:val="36"/>
        </w:rPr>
        <w:t xml:space="preserve">VITALITY WEIGHT MANAGEMENT PROGRAM</w:t>
      </w:r>
    </w:p>
    <w:p>
      <w:r>
        <w:rPr>
          <w:rFonts w:ascii="Calibri" w:cs="Calibri" w:eastAsia="Calibri" w:hAnsi="Calibri"/>
          <w:sz w:val="22"/>
          <w:szCs w:val="22"/>
        </w:rPr>
        <w:t xml:space="preserve"/>
      </w:r>
    </w:p>
    <w:p>
      <w:pPr>
        <w:spacing w:after="160" w:before="320"/>
      </w:pPr>
      <w:r>
        <w:rPr>
          <w:rFonts w:ascii="Calibri" w:cs="Calibri" w:eastAsia="Calibri" w:hAnsi="Calibri"/>
          <w:b/>
          <w:bCs/>
          <w:color w:val="0F4C81"/>
          <w:sz w:val="28"/>
          <w:szCs w:val="28"/>
        </w:rPr>
        <w:t xml:space="preserve">Proposal in Response to Sedgwick County RFP #26-0028</w:t>
      </w:r>
    </w:p>
    <w:p>
      <w:pPr>
        <w:spacing w:after="160" w:before="320"/>
      </w:pPr>
      <w:r>
        <w:rPr>
          <w:rFonts w:ascii="Calibri" w:cs="Calibri" w:eastAsia="Calibri" w:hAnsi="Calibri"/>
          <w:b/>
          <w:bCs/>
          <w:color w:val="0F4C81"/>
          <w:sz w:val="28"/>
          <w:szCs w:val="28"/>
        </w:rPr>
        <w:t xml:space="preserve">Employee Ancillary Benefits — Weight Loss / Weight Management Program</w:t>
      </w:r>
    </w:p>
    <w:p>
      <w:r>
        <w:rPr>
          <w:rFonts w:ascii="Calibri" w:cs="Calibri" w:eastAsia="Calibri" w:hAnsi="Calibri"/>
          <w:sz w:val="22"/>
          <w:szCs w:val="22"/>
        </w:rPr>
        <w:t xml:space="preserve"/>
      </w:r>
    </w:p>
    <w:p>
      <w:pPr>
        <w:pBdr>
          <w:bottom w:val="single" w:color="888888" w:sz="6" w:space="1"/>
        </w:pBdr>
        <w:spacing w:after="120" w:before="120"/>
      </w:pPr>
    </w:p>
    <w:p>
      <w:r>
        <w:rPr>
          <w:rFonts w:ascii="Calibri" w:cs="Calibri" w:eastAsia="Calibri" w:hAnsi="Calibri"/>
          <w:sz w:val="22"/>
          <w:szCs w:val="22"/>
        </w:rPr>
        <w:t xml:space="preserve"/>
      </w:r>
    </w:p>
    <w:p>
      <w:pPr>
        <w:spacing w:after="80" w:before="80"/>
      </w:pPr>
      <w:r>
        <w:rPr>
          <w:rFonts w:ascii="Calibri" w:cs="Calibri" w:eastAsia="Calibri" w:hAnsi="Calibri"/>
          <w:b/>
          <w:bCs/>
          <w:sz w:val="22"/>
          <w:szCs w:val="22"/>
        </w:rPr>
        <w:t xml:space="preserve">Submitted to:</w:t>
      </w:r>
    </w:p>
    <w:p>
      <w:pPr>
        <w:spacing w:after="80" w:before="80"/>
      </w:pPr>
      <w:r>
        <w:rPr>
          <w:rFonts w:ascii="Calibri" w:cs="Calibri" w:eastAsia="Calibri" w:hAnsi="Calibri"/>
          <w:sz w:val="22"/>
          <w:szCs w:val="22"/>
        </w:rPr>
        <w:t xml:space="preserve">Tammy Culley, Purchasing Agent</w:t>
      </w:r>
    </w:p>
    <w:p>
      <w:pPr>
        <w:spacing w:after="80" w:before="80"/>
      </w:pPr>
      <w:r>
        <w:rPr>
          <w:rFonts w:ascii="Calibri" w:cs="Calibri" w:eastAsia="Calibri" w:hAnsi="Calibri"/>
          <w:sz w:val="22"/>
          <w:szCs w:val="22"/>
        </w:rPr>
        <w:t xml:space="preserve">Sedgwick County Purchasing Department</w:t>
      </w:r>
    </w:p>
    <w:p>
      <w:pPr>
        <w:spacing w:after="80" w:before="80"/>
      </w:pPr>
      <w:r>
        <w:rPr>
          <w:rFonts w:ascii="Calibri" w:cs="Calibri" w:eastAsia="Calibri" w:hAnsi="Calibri"/>
          <w:sz w:val="22"/>
          <w:szCs w:val="22"/>
        </w:rPr>
        <w:t xml:space="preserve">100 N. Broadway, Suite 610</w:t>
      </w:r>
    </w:p>
    <w:p>
      <w:pPr>
        <w:spacing w:after="80" w:before="80"/>
      </w:pPr>
      <w:r>
        <w:rPr>
          <w:rFonts w:ascii="Calibri" w:cs="Calibri" w:eastAsia="Calibri" w:hAnsi="Calibri"/>
          <w:sz w:val="22"/>
          <w:szCs w:val="22"/>
        </w:rPr>
        <w:t xml:space="preserve">Wichita, KS 67202</w:t>
      </w:r>
    </w:p>
    <w:p>
      <w:pPr>
        <w:spacing w:after="80" w:before="80"/>
      </w:pPr>
      <w:r>
        <w:rPr>
          <w:rFonts w:ascii="Calibri" w:cs="Calibri" w:eastAsia="Calibri" w:hAnsi="Calibri"/>
          <w:sz w:val="22"/>
          <w:szCs w:val="22"/>
        </w:rPr>
        <w:t xml:space="preserve">purchasing@sedgwick.gov</w:t>
      </w:r>
    </w:p>
    <w:p>
      <w:r>
        <w:rPr>
          <w:rFonts w:ascii="Calibri" w:cs="Calibri" w:eastAsia="Calibri" w:hAnsi="Calibri"/>
          <w:sz w:val="22"/>
          <w:szCs w:val="22"/>
        </w:rPr>
        <w:t xml:space="preserve"/>
      </w:r>
    </w:p>
    <w:p>
      <w:pPr>
        <w:spacing w:after="80" w:before="80"/>
      </w:pPr>
      <w:r>
        <w:rPr>
          <w:rFonts w:ascii="Calibri" w:cs="Calibri" w:eastAsia="Calibri" w:hAnsi="Calibri"/>
          <w:b/>
          <w:bCs/>
          <w:sz w:val="22"/>
          <w:szCs w:val="22"/>
        </w:rPr>
        <w:t xml:space="preserve">Submitted by (Prime Contractor):</w:t>
      </w:r>
    </w:p>
    <w:p>
      <w:pPr>
        <w:spacing w:after="80" w:before="80"/>
      </w:pPr>
      <w:r>
        <w:rPr>
          <w:rFonts w:ascii="Calibri" w:cs="Calibri" w:eastAsia="Calibri" w:hAnsi="Calibri"/>
          <w:sz w:val="22"/>
          <w:szCs w:val="22"/>
        </w:rPr>
        <w:t xml:space="preserve">Eric Hargrave, CEO</w:t>
      </w:r>
    </w:p>
    <w:p>
      <w:pPr>
        <w:spacing w:after="80" w:before="80"/>
      </w:pPr>
      <w:r>
        <w:rPr>
          <w:rFonts w:ascii="Calibri" w:cs="Calibri" w:eastAsia="Calibri" w:hAnsi="Calibri"/>
          <w:sz w:val="22"/>
          <w:szCs w:val="22"/>
        </w:rPr>
        <w:t xml:space="preserve">Hargrave Innovative Solutions (HIS)</w:t>
      </w:r>
    </w:p>
    <w:p>
      <w:pPr>
        <w:spacing w:after="80" w:before="80"/>
      </w:pPr>
      <w:r>
        <w:rPr>
          <w:rFonts w:ascii="Calibri" w:cs="Calibri" w:eastAsia="Calibri" w:hAnsi="Calibri"/>
          <w:sz w:val="22"/>
          <w:szCs w:val="22"/>
        </w:rPr>
        <w:t xml:space="preserve">ericd@hisolution.org · 601-238-4186</w:t>
      </w:r>
    </w:p>
    <w:p>
      <w:r>
        <w:rPr>
          <w:rFonts w:ascii="Calibri" w:cs="Calibri" w:eastAsia="Calibri" w:hAnsi="Calibri"/>
          <w:sz w:val="22"/>
          <w:szCs w:val="22"/>
        </w:rPr>
        <w:t xml:space="preserve"/>
      </w:r>
    </w:p>
    <w:p>
      <w:pPr>
        <w:spacing w:after="80" w:before="80"/>
      </w:pPr>
      <w:r>
        <w:rPr>
          <w:rFonts w:ascii="Calibri" w:cs="Calibri" w:eastAsia="Calibri" w:hAnsi="Calibri"/>
          <w:b/>
          <w:bCs/>
          <w:sz w:val="22"/>
          <w:szCs w:val="22"/>
        </w:rPr>
        <w:t xml:space="preserve">In partnership with:</w:t>
      </w:r>
    </w:p>
    <w:p>
      <w:pPr>
        <w:spacing w:after="80" w:before="80"/>
      </w:pPr>
      <w:r>
        <w:rPr>
          <w:rFonts w:ascii="Calibri" w:cs="Calibri" w:eastAsia="Calibri" w:hAnsi="Calibri"/>
          <w:sz w:val="22"/>
          <w:szCs w:val="22"/>
        </w:rPr>
        <w:t xml:space="preserve">Love Clinic MedSpa · Vanntastic Solutions · The COLLABORATIVE Advocate Foundation</w:t>
      </w:r>
    </w:p>
    <w:p>
      <w:r>
        <w:rPr>
          <w:rFonts w:ascii="Calibri" w:cs="Calibri" w:eastAsia="Calibri" w:hAnsi="Calibri"/>
          <w:sz w:val="22"/>
          <w:szCs w:val="22"/>
        </w:rPr>
        <w:t xml:space="preserve"/>
      </w:r>
    </w:p>
    <w:p>
      <w:pPr>
        <w:spacing w:after="80" w:before="80"/>
      </w:pPr>
      <w:r>
        <w:rPr>
          <w:rFonts w:ascii="Calibri" w:cs="Calibri" w:eastAsia="Calibri" w:hAnsi="Calibri"/>
          <w:b/>
          <w:bCs/>
          <w:sz w:val="22"/>
          <w:szCs w:val="22"/>
        </w:rPr>
        <w:t xml:space="preserve">Date of submission:</w:t>
      </w:r>
      <w:r>
        <w:rPr>
          <w:rFonts w:ascii="Calibri" w:cs="Calibri" w:eastAsia="Calibri" w:hAnsi="Calibri"/>
          <w:sz w:val="22"/>
          <w:szCs w:val="22"/>
        </w:rPr>
        <w:t xml:space="preserve"> June 2, 2026</w:t>
      </w:r>
    </w:p>
    <w:p>
      <w:pPr>
        <w:spacing w:after="80" w:before="80"/>
      </w:pPr>
      <w:r>
        <w:rPr>
          <w:rFonts w:ascii="Calibri" w:cs="Calibri" w:eastAsia="Calibri" w:hAnsi="Calibri"/>
          <w:b/>
          <w:bCs/>
          <w:sz w:val="22"/>
          <w:szCs w:val="22"/>
        </w:rPr>
        <w:t xml:space="preserve">Submission deadline acknowledged:</w:t>
      </w:r>
      <w:r>
        <w:rPr>
          <w:rFonts w:ascii="Calibri" w:cs="Calibri" w:eastAsia="Calibri" w:hAnsi="Calibri"/>
          <w:sz w:val="22"/>
          <w:szCs w:val="22"/>
        </w:rPr>
        <w:t xml:space="preserve"> 1:45 PM CDT, June 2, 2026</w:t>
      </w:r>
    </w:p>
    <w:p>
      <w:r>
        <w:rPr>
          <w:rFonts w:ascii="Calibri" w:cs="Calibri" w:eastAsia="Calibri" w:hAnsi="Calibri"/>
          <w:sz w:val="22"/>
          <w:szCs w:val="22"/>
        </w:rPr>
        <w:t xml:space="preserve"/>
      </w:r>
    </w:p>
    <w:p>
      <w:pPr>
        <w:spacing w:after="80" w:before="80"/>
      </w:pPr>
      <w:r>
        <w:rPr>
          <w:rFonts w:ascii="Calibri" w:cs="Calibri" w:eastAsia="Calibri" w:hAnsi="Calibri"/>
          <w:b/>
          <w:bCs/>
          <w:sz w:val="22"/>
          <w:szCs w:val="22"/>
        </w:rPr>
        <w:t xml:space="preserve">Addenda acknowledged:</w:t>
      </w:r>
    </w:p>
    <w:p>
      <w:pPr>
        <w:pStyle w:val="ListParagraph"/>
        <w:numPr>
          <w:ilvl w:val="0"/>
          <w:numId w:val="1"/>
        </w:numPr>
        <w:spacing w:after="60" w:before="60"/>
      </w:pPr>
      <w:r>
        <w:rPr>
          <w:rFonts w:ascii="Calibri" w:cs="Calibri" w:eastAsia="Calibri" w:hAnsi="Calibri"/>
          <w:sz w:val="22"/>
          <w:szCs w:val="22"/>
        </w:rPr>
        <w:t xml:space="preserve">Addendum #1 (as issued) — signed acknowledgment in Appendix C</w:t>
      </w:r>
    </w:p>
    <w:p>
      <w:pPr>
        <w:pStyle w:val="ListParagraph"/>
        <w:numPr>
          <w:ilvl w:val="0"/>
          <w:numId w:val="1"/>
        </w:numPr>
        <w:spacing w:after="60" w:before="60"/>
      </w:pPr>
      <w:r>
        <w:rPr>
          <w:rFonts w:ascii="Calibri" w:cs="Calibri" w:eastAsia="Calibri" w:hAnsi="Calibri"/>
          <w:b/>
          <w:bCs/>
          <w:sz w:val="22"/>
          <w:szCs w:val="22"/>
        </w:rPr>
        <w:t xml:space="preserve">Addendum #2 (issued May 22, 2026 by Tammy Culley, Purchasing Agent)</w:t>
      </w:r>
      <w:r>
        <w:rPr>
          <w:rFonts w:ascii="Calibri" w:cs="Calibri" w:eastAsia="Calibri" w:hAnsi="Calibri"/>
          <w:sz w:val="22"/>
          <w:szCs w:val="22"/>
        </w:rPr>
        <w:t xml:space="preserve"> — signed acknowledgment in Appendix C</w:t>
      </w:r>
    </w:p>
    <w:p>
      <w:r>
        <w:rPr>
          <w:rFonts w:ascii="Calibri" w:cs="Calibri" w:eastAsia="Calibri" w:hAnsi="Calibri"/>
          <w:sz w:val="22"/>
          <w:szCs w:val="22"/>
        </w:rPr>
        <w:t xml:space="preserve"/>
      </w:r>
    </w:p>
    <w:p>
      <w:pPr>
        <w:pBdr>
          <w:bottom w:val="single" w:color="888888" w:sz="6" w:space="1"/>
        </w:pBdr>
        <w:spacing w:after="120" w:before="120"/>
      </w:pPr>
    </w:p>
    <w:p>
      <w:r>
        <w:rPr>
          <w:rFonts w:ascii="Calibri" w:cs="Calibri" w:eastAsia="Calibri" w:hAnsi="Calibri"/>
          <w:sz w:val="22"/>
          <w:szCs w:val="22"/>
        </w:rPr>
        <w:t xml:space="preserve"/>
      </w:r>
    </w:p>
    <w:p>
      <w:pPr>
        <w:spacing w:after="160" w:before="320"/>
      </w:pPr>
      <w:r>
        <w:rPr>
          <w:rFonts w:ascii="Calibri" w:cs="Calibri" w:eastAsia="Calibri" w:hAnsi="Calibri"/>
          <w:b/>
          <w:bCs/>
          <w:color w:val="0F4C81"/>
          <w:sz w:val="28"/>
          <w:szCs w:val="28"/>
        </w:rPr>
        <w:t xml:space="preserve">TABLE OF CONTENTS</w:t>
      </w:r>
    </w:p>
    <w:p>
      <w:r>
        <w:rPr>
          <w:rFonts w:ascii="Calibri" w:cs="Calibri" w:eastAsia="Calibri" w:hAnsi="Calibri"/>
          <w:sz w:val="22"/>
          <w:szCs w:val="22"/>
        </w:rPr>
        <w:t xml:space="preserve"/>
      </w:r>
    </w:p>
    <w:p>
      <w:pPr>
        <w:pStyle w:val="ListParagraph"/>
        <w:numPr>
          <w:ilvl w:val="0"/>
          <w:numId w:val="2"/>
        </w:numPr>
        <w:spacing w:after="60" w:before="60"/>
      </w:pPr>
      <w:r>
        <w:rPr>
          <w:rFonts w:ascii="Calibri" w:cs="Calibri" w:eastAsia="Calibri" w:hAnsi="Calibri"/>
          <w:sz w:val="22"/>
          <w:szCs w:val="22"/>
        </w:rPr>
        <w:t xml:space="preserve">Cover Letter</w:t>
      </w:r>
    </w:p>
    <w:p>
      <w:pPr>
        <w:pStyle w:val="ListParagraph"/>
        <w:numPr>
          <w:ilvl w:val="0"/>
          <w:numId w:val="2"/>
        </w:numPr>
        <w:spacing w:after="60" w:before="60"/>
      </w:pPr>
      <w:r>
        <w:rPr>
          <w:rFonts w:ascii="Calibri" w:cs="Calibri" w:eastAsia="Calibri" w:hAnsi="Calibri"/>
          <w:sz w:val="22"/>
          <w:szCs w:val="22"/>
        </w:rPr>
        <w:t xml:space="preserve">Executive Summary</w:t>
      </w:r>
    </w:p>
    <w:p>
      <w:pPr>
        <w:pStyle w:val="ListParagraph"/>
        <w:numPr>
          <w:ilvl w:val="0"/>
          <w:numId w:val="2"/>
        </w:numPr>
        <w:spacing w:after="60" w:before="60"/>
      </w:pPr>
      <w:r>
        <w:rPr>
          <w:rFonts w:ascii="Calibri" w:cs="Calibri" w:eastAsia="Calibri" w:hAnsi="Calibri"/>
          <w:sz w:val="22"/>
          <w:szCs w:val="22"/>
        </w:rPr>
        <w:t xml:space="preserve">Team and Organizational Qualifications</w:t>
      </w:r>
    </w:p>
    <w:p>
      <w:pPr>
        <w:pStyle w:val="ListParagraph"/>
        <w:numPr>
          <w:ilvl w:val="0"/>
          <w:numId w:val="2"/>
        </w:numPr>
        <w:spacing w:after="60" w:before="60"/>
      </w:pPr>
      <w:r>
        <w:rPr>
          <w:rFonts w:ascii="Calibri" w:cs="Calibri" w:eastAsia="Calibri" w:hAnsi="Calibri"/>
          <w:sz w:val="22"/>
          <w:szCs w:val="22"/>
        </w:rPr>
        <w:t xml:space="preserve">Understanding of the County's Needs</w:t>
      </w:r>
    </w:p>
    <w:p>
      <w:pPr>
        <w:pStyle w:val="ListParagraph"/>
        <w:numPr>
          <w:ilvl w:val="0"/>
          <w:numId w:val="2"/>
        </w:numPr>
        <w:spacing w:after="60" w:before="60"/>
      </w:pPr>
      <w:r>
        <w:rPr>
          <w:rFonts w:ascii="Calibri" w:cs="Calibri" w:eastAsia="Calibri" w:hAnsi="Calibri"/>
          <w:sz w:val="22"/>
          <w:szCs w:val="22"/>
        </w:rPr>
        <w:t xml:space="preserve">Program Design — Vitality Comprehensive Weight Management</w:t>
      </w:r>
    </w:p>
    <w:p>
      <w:pPr>
        <w:pStyle w:val="ListParagraph"/>
        <w:numPr>
          <w:ilvl w:val="0"/>
          <w:numId w:val="2"/>
        </w:numPr>
        <w:spacing w:after="60" w:before="60"/>
      </w:pPr>
      <w:r>
        <w:rPr>
          <w:rFonts w:ascii="Calibri" w:cs="Calibri" w:eastAsia="Calibri" w:hAnsi="Calibri"/>
          <w:sz w:val="22"/>
          <w:szCs w:val="22"/>
        </w:rPr>
        <w:t xml:space="preserve">Technology Platform</w:t>
      </w:r>
    </w:p>
    <w:p>
      <w:pPr>
        <w:pStyle w:val="ListParagraph"/>
        <w:numPr>
          <w:ilvl w:val="0"/>
          <w:numId w:val="2"/>
        </w:numPr>
        <w:spacing w:after="60" w:before="60"/>
      </w:pPr>
      <w:r>
        <w:rPr>
          <w:rFonts w:ascii="Calibri" w:cs="Calibri" w:eastAsia="Calibri" w:hAnsi="Calibri"/>
          <w:sz w:val="22"/>
          <w:szCs w:val="22"/>
        </w:rPr>
        <w:t xml:space="preserve">Implementation Plan</w:t>
      </w:r>
    </w:p>
    <w:p>
      <w:pPr>
        <w:pStyle w:val="ListParagraph"/>
        <w:numPr>
          <w:ilvl w:val="0"/>
          <w:numId w:val="2"/>
        </w:numPr>
        <w:spacing w:after="60" w:before="60"/>
      </w:pPr>
      <w:r>
        <w:rPr>
          <w:rFonts w:ascii="Calibri" w:cs="Calibri" w:eastAsia="Calibri" w:hAnsi="Calibri"/>
          <w:sz w:val="22"/>
          <w:szCs w:val="22"/>
        </w:rPr>
        <w:t xml:space="preserve">Pricing Model and Return on Investment</w:t>
      </w:r>
    </w:p>
    <w:p>
      <w:pPr>
        <w:pStyle w:val="ListParagraph"/>
        <w:numPr>
          <w:ilvl w:val="0"/>
          <w:numId w:val="2"/>
        </w:numPr>
        <w:spacing w:after="60" w:before="60"/>
      </w:pPr>
      <w:r>
        <w:rPr>
          <w:rFonts w:ascii="Calibri" w:cs="Calibri" w:eastAsia="Calibri" w:hAnsi="Calibri"/>
          <w:sz w:val="22"/>
          <w:szCs w:val="22"/>
        </w:rPr>
        <w:t xml:space="preserve">Reporting and Performance Metrics</w:t>
      </w:r>
    </w:p>
    <w:p>
      <w:pPr>
        <w:pStyle w:val="ListParagraph"/>
        <w:numPr>
          <w:ilvl w:val="0"/>
          <w:numId w:val="2"/>
        </w:numPr>
        <w:spacing w:after="60" w:before="60"/>
      </w:pPr>
      <w:r>
        <w:rPr>
          <w:rFonts w:ascii="Calibri" w:cs="Calibri" w:eastAsia="Calibri" w:hAnsi="Calibri"/>
          <w:sz w:val="22"/>
          <w:szCs w:val="22"/>
        </w:rPr>
        <w:t xml:space="preserve">References and Past Performance</w:t>
      </w:r>
    </w:p>
    <w:p>
      <w:pPr>
        <w:pStyle w:val="ListParagraph"/>
        <w:numPr>
          <w:ilvl w:val="0"/>
          <w:numId w:val="2"/>
        </w:numPr>
        <w:spacing w:after="60" w:before="60"/>
      </w:pPr>
      <w:r>
        <w:rPr>
          <w:rFonts w:ascii="Calibri" w:cs="Calibri" w:eastAsia="Calibri" w:hAnsi="Calibri"/>
          <w:sz w:val="22"/>
          <w:szCs w:val="22"/>
        </w:rPr>
        <w:t xml:space="preserve">Compliance, Insurance, and Certifications</w:t>
      </w:r>
    </w:p>
    <w:p>
      <w:pPr>
        <w:pStyle w:val="ListParagraph"/>
        <w:numPr>
          <w:ilvl w:val="0"/>
          <w:numId w:val="2"/>
        </w:numPr>
        <w:spacing w:after="60" w:before="60"/>
      </w:pPr>
      <w:r>
        <w:rPr>
          <w:rFonts w:ascii="Calibri" w:cs="Calibri" w:eastAsia="Calibri" w:hAnsi="Calibri"/>
          <w:sz w:val="22"/>
          <w:szCs w:val="22"/>
        </w:rPr>
        <w:t xml:space="preserve">Appendices</w:t>
      </w:r>
    </w:p>
    <w:p>
      <w:r>
        <w:rPr>
          <w:rFonts w:ascii="Calibri" w:cs="Calibri" w:eastAsia="Calibri" w:hAnsi="Calibri"/>
          <w:sz w:val="22"/>
          <w:szCs w:val="22"/>
        </w:rPr>
        <w:t xml:space="preserve"/>
      </w:r>
    </w:p>
    <w:p>
      <w:pPr>
        <w:pBdr>
          <w:bottom w:val="single" w:color="888888" w:sz="6" w:space="1"/>
        </w:pBdr>
        <w:spacing w:after="120" w:before="120"/>
      </w:pPr>
    </w:p>
    <w:p>
      <w:r>
        <w:rPr>
          <w:rFonts w:ascii="Calibri" w:cs="Calibri" w:eastAsia="Calibri" w:hAnsi="Calibri"/>
          <w:sz w:val="22"/>
          <w:szCs w:val="22"/>
        </w:rPr>
        <w:t xml:space="preserve"/>
      </w:r>
    </w:p>
    <w:p>
      <w:pPr>
        <w:spacing w:after="220" w:before="360"/>
        <w:jc w:val="left"/>
      </w:pPr>
      <w:r>
        <w:rPr>
          <w:rFonts w:ascii="Calibri" w:cs="Calibri" w:eastAsia="Calibri" w:hAnsi="Calibri"/>
          <w:b/>
          <w:bCs/>
          <w:color w:val="0F4C81"/>
          <w:sz w:val="36"/>
          <w:szCs w:val="36"/>
        </w:rPr>
        <w:t xml:space="preserve">Section 1 — Cover Letter</w:t>
      </w:r>
    </w:p>
    <w:p>
      <w:r>
        <w:rPr>
          <w:rFonts w:ascii="Calibri" w:cs="Calibri" w:eastAsia="Calibri" w:hAnsi="Calibri"/>
          <w:sz w:val="22"/>
          <w:szCs w:val="22"/>
        </w:rPr>
        <w:t xml:space="preserve"/>
      </w:r>
    </w:p>
    <w:p>
      <w:pPr>
        <w:spacing w:after="80" w:before="80"/>
      </w:pPr>
      <w:r>
        <w:rPr>
          <w:rFonts w:ascii="Calibri" w:cs="Calibri" w:eastAsia="Calibri" w:hAnsi="Calibri"/>
          <w:b/>
          <w:bCs/>
          <w:sz w:val="22"/>
          <w:szCs w:val="22"/>
        </w:rPr>
        <w:t xml:space="preserve">To:</w:t>
      </w:r>
      <w:r>
        <w:rPr>
          <w:rFonts w:ascii="Calibri" w:cs="Calibri" w:eastAsia="Calibri" w:hAnsi="Calibri"/>
          <w:sz w:val="22"/>
          <w:szCs w:val="22"/>
        </w:rPr>
        <w:t xml:space="preserve"> Ms. Tammy Culley, Purchasing Agent, Sedgwick County</w:t>
      </w:r>
    </w:p>
    <w:p>
      <w:r>
        <w:rPr>
          <w:rFonts w:ascii="Calibri" w:cs="Calibri" w:eastAsia="Calibri" w:hAnsi="Calibri"/>
          <w:sz w:val="22"/>
          <w:szCs w:val="22"/>
        </w:rPr>
        <w:t xml:space="preserve"/>
      </w:r>
    </w:p>
    <w:p>
      <w:pPr>
        <w:spacing w:after="80" w:before="80"/>
      </w:pPr>
      <w:r>
        <w:rPr>
          <w:rFonts w:ascii="Calibri" w:cs="Calibri" w:eastAsia="Calibri" w:hAnsi="Calibri"/>
          <w:sz w:val="22"/>
          <w:szCs w:val="22"/>
        </w:rPr>
        <w:t xml:space="preserve">Dear Ms. Culley,</w:t>
      </w:r>
    </w:p>
    <w:p>
      <w:r>
        <w:rPr>
          <w:rFonts w:ascii="Calibri" w:cs="Calibri" w:eastAsia="Calibri" w:hAnsi="Calibri"/>
          <w:sz w:val="22"/>
          <w:szCs w:val="22"/>
        </w:rPr>
        <w:t xml:space="preserve"/>
      </w:r>
    </w:p>
    <w:p>
      <w:pPr>
        <w:spacing w:after="80" w:before="80"/>
      </w:pPr>
      <w:r>
        <w:rPr>
          <w:rFonts w:ascii="Calibri" w:cs="Calibri" w:eastAsia="Calibri" w:hAnsi="Calibri"/>
          <w:sz w:val="22"/>
          <w:szCs w:val="22"/>
        </w:rPr>
        <w:t xml:space="preserve">On behalf of Hargrave Innovative Solutions and our three named subcontractors — Love Clinic MedSpa, Vanntastic Solutions, and The COLLABORATIVE Advocate Foundation — I am pleased to submit our proposal in response to RFP #26-0028, Employee Ancillary Benefits — Weight Loss / Weight Management Program.</w:t>
      </w:r>
    </w:p>
    <w:p>
      <w:r>
        <w:rPr>
          <w:rFonts w:ascii="Calibri" w:cs="Calibri" w:eastAsia="Calibri" w:hAnsi="Calibri"/>
          <w:sz w:val="22"/>
          <w:szCs w:val="22"/>
        </w:rPr>
        <w:t xml:space="preserve"/>
      </w:r>
    </w:p>
    <w:p>
      <w:pPr>
        <w:spacing w:after="80" w:before="80"/>
      </w:pPr>
      <w:r>
        <w:rPr>
          <w:rFonts w:ascii="Calibri" w:cs="Calibri" w:eastAsia="Calibri" w:hAnsi="Calibri"/>
          <w:sz w:val="22"/>
          <w:szCs w:val="22"/>
        </w:rPr>
        <w:t xml:space="preserve">We acknowledge receipt of Addendum #1 and Addendum #2 (issued May 22, 2026), and signed acknowledgments are included in Appendix C of this proposal.</w:t>
      </w:r>
    </w:p>
    <w:p>
      <w:r>
        <w:rPr>
          <w:rFonts w:ascii="Calibri" w:cs="Calibri" w:eastAsia="Calibri" w:hAnsi="Calibri"/>
          <w:sz w:val="22"/>
          <w:szCs w:val="22"/>
        </w:rPr>
        <w:t xml:space="preserve"/>
      </w:r>
    </w:p>
    <w:p>
      <w:pPr>
        <w:spacing w:after="80" w:before="80"/>
      </w:pPr>
      <w:r>
        <w:rPr>
          <w:rFonts w:ascii="Calibri" w:cs="Calibri" w:eastAsia="Calibri" w:hAnsi="Calibri"/>
          <w:sz w:val="22"/>
          <w:szCs w:val="22"/>
        </w:rPr>
        <w:t xml:space="preserve">Our team is local. Three of our four partners are based in Wichita; the fourth is a U.S. Army retiree with deep public-sector implementation experience. We understand Sedgwick County not as a logo on a contract but as our neighbors, our friends, and our families. Several of our partners' family members are on the County medical plan today.</w:t>
      </w:r>
    </w:p>
    <w:p>
      <w:r>
        <w:rPr>
          <w:rFonts w:ascii="Calibri" w:cs="Calibri" w:eastAsia="Calibri" w:hAnsi="Calibri"/>
          <w:sz w:val="22"/>
          <w:szCs w:val="22"/>
        </w:rPr>
        <w:t xml:space="preserve"/>
      </w:r>
    </w:p>
    <w:p>
      <w:pPr>
        <w:spacing w:after="80" w:before="80"/>
      </w:pPr>
      <w:r>
        <w:rPr>
          <w:rFonts w:ascii="Calibri" w:cs="Calibri" w:eastAsia="Calibri" w:hAnsi="Calibri"/>
          <w:sz w:val="22"/>
          <w:szCs w:val="22"/>
        </w:rPr>
        <w:t xml:space="preserve">We have read Addendum #2 carefully. The County's disclosure that 373 members are currently on GLP-1 therapy — with 705 members having started a GLP-1 in just the past twelve months — tells us that the County is already absorbing a significant pharmacy-cost burden, and the ~47% twelve-month attrition rate tells us that prior authorization alone is not converting that spend into outcomes. Our proposal is designed around capturing that gap.</w:t>
      </w:r>
    </w:p>
    <w:p>
      <w:r>
        <w:rPr>
          <w:rFonts w:ascii="Calibri" w:cs="Calibri" w:eastAsia="Calibri" w:hAnsi="Calibri"/>
          <w:sz w:val="22"/>
          <w:szCs w:val="22"/>
        </w:rPr>
        <w:t xml:space="preserve"/>
      </w:r>
    </w:p>
    <w:p>
      <w:pPr>
        <w:spacing w:after="80" w:before="80"/>
      </w:pPr>
      <w:r>
        <w:rPr>
          <w:rFonts w:ascii="Calibri" w:cs="Calibri" w:eastAsia="Calibri" w:hAnsi="Calibri"/>
          <w:sz w:val="22"/>
          <w:szCs w:val="22"/>
        </w:rPr>
        <w:t xml:space="preserve">We believe this proposal represents the best value available to Sedgwick County under RFP #26-0028:</w:t>
      </w:r>
    </w:p>
    <w:p>
      <w:r>
        <w:rPr>
          <w:rFonts w:ascii="Calibri" w:cs="Calibri" w:eastAsia="Calibri" w:hAnsi="Calibri"/>
          <w:sz w:val="22"/>
          <w:szCs w:val="22"/>
        </w:rPr>
        <w:t xml:space="preserve"/>
      </w:r>
    </w:p>
    <w:p>
      <w:pPr>
        <w:pStyle w:val="ListParagraph"/>
        <w:numPr>
          <w:ilvl w:val="0"/>
          <w:numId w:val="1"/>
        </w:numPr>
        <w:spacing w:after="60" w:before="60"/>
      </w:pPr>
      <w:r>
        <w:rPr>
          <w:rFonts w:ascii="Calibri" w:cs="Calibri" w:eastAsia="Calibri" w:hAnsi="Calibri"/>
          <w:sz w:val="22"/>
          <w:szCs w:val="22"/>
        </w:rPr>
        <w:t xml:space="preserve">We are the only respondent with a fully integrated four-partner structure that combines prescribing clinical capability (Dr. Chela Love, DNP), wellness coaching and behavioral engagement (Dr. J. Michelle Vann), digital platform and engagement systems (Dr. Terry D. Flood, DHA, EdD), and disciplined prime-contractor government compliance (Hargrave Innovative Solutions).</w:t>
      </w:r>
    </w:p>
    <w:p>
      <w:pPr>
        <w:pStyle w:val="ListParagraph"/>
        <w:numPr>
          <w:ilvl w:val="0"/>
          <w:numId w:val="1"/>
        </w:numPr>
        <w:spacing w:after="60" w:before="60"/>
      </w:pPr>
      <w:r>
        <w:rPr>
          <w:rFonts w:ascii="Calibri" w:cs="Calibri" w:eastAsia="Calibri" w:hAnsi="Calibri"/>
          <w:sz w:val="22"/>
          <w:szCs w:val="22"/>
        </w:rPr>
        <w:t xml:space="preserve">Our proposed program model captures the approximately $2.09 million per year in managed-GLP-1 savings already addressable within the County's current 373-member GLP-1 cohort, while also serving the broader 1,525 at-risk adult population with evidence-based lifestyle and clinical pathways.</w:t>
      </w:r>
    </w:p>
    <w:p>
      <w:pPr>
        <w:pStyle w:val="ListParagraph"/>
        <w:numPr>
          <w:ilvl w:val="0"/>
          <w:numId w:val="1"/>
        </w:numPr>
        <w:spacing w:after="60" w:before="60"/>
      </w:pPr>
      <w:r>
        <w:rPr>
          <w:rFonts w:ascii="Calibri" w:cs="Calibri" w:eastAsia="Calibri" w:hAnsi="Calibri"/>
          <w:sz w:val="22"/>
          <w:szCs w:val="22"/>
        </w:rPr>
        <w:t xml:space="preserve">Our technology platform is purpose-built to integrate with — not replace — UnitedHealthcare (TPA), OptumRx (PBM), and Rally (current wellness platform). We coordinate; we do not displace.</w:t>
      </w:r>
    </w:p>
    <w:p>
      <w:pPr>
        <w:pStyle w:val="ListParagraph"/>
        <w:numPr>
          <w:ilvl w:val="0"/>
          <w:numId w:val="1"/>
        </w:numPr>
        <w:spacing w:after="60" w:before="60"/>
      </w:pPr>
      <w:r>
        <w:rPr>
          <w:rFonts w:ascii="Calibri" w:cs="Calibri" w:eastAsia="Calibri" w:hAnsi="Calibri"/>
          <w:sz w:val="22"/>
          <w:szCs w:val="22"/>
        </w:rPr>
        <w:t xml:space="preserve">We are HIPAA-compliant, prepared to execute the County's standard Business Associate Agreement at award, and willing to discuss at-risk performance-based pricing tied to engagement, GLP-1 utilization, and cost savings — the three KPIs the County named in the Addendum.</w:t>
      </w:r>
    </w:p>
    <w:p>
      <w:r>
        <w:rPr>
          <w:rFonts w:ascii="Calibri" w:cs="Calibri" w:eastAsia="Calibri" w:hAnsi="Calibri"/>
          <w:sz w:val="22"/>
          <w:szCs w:val="22"/>
        </w:rPr>
        <w:t xml:space="preserve"/>
      </w:r>
    </w:p>
    <w:p>
      <w:pPr>
        <w:spacing w:after="80" w:before="80"/>
      </w:pPr>
      <w:r>
        <w:rPr>
          <w:rFonts w:ascii="Calibri" w:cs="Calibri" w:eastAsia="Calibri" w:hAnsi="Calibri"/>
          <w:sz w:val="22"/>
          <w:szCs w:val="22"/>
        </w:rPr>
        <w:t xml:space="preserve">All communication regarding this proposal will route through me as the Prime Contractor's authorized representative. I am personally accountable for our team's performance under any awarded contract.</w:t>
      </w:r>
    </w:p>
    <w:p>
      <w:r>
        <w:rPr>
          <w:rFonts w:ascii="Calibri" w:cs="Calibri" w:eastAsia="Calibri" w:hAnsi="Calibri"/>
          <w:sz w:val="22"/>
          <w:szCs w:val="22"/>
        </w:rPr>
        <w:t xml:space="preserve"/>
      </w:r>
    </w:p>
    <w:p>
      <w:pPr>
        <w:spacing w:after="80" w:before="80"/>
      </w:pPr>
      <w:r>
        <w:rPr>
          <w:rFonts w:ascii="Calibri" w:cs="Calibri" w:eastAsia="Calibri" w:hAnsi="Calibri"/>
          <w:sz w:val="22"/>
          <w:szCs w:val="22"/>
        </w:rPr>
        <w:t xml:space="preserve">Thank you for your consideration. We look forward to the opportunity to serve Sedgwick County.</w:t>
      </w:r>
    </w:p>
    <w:p>
      <w:r>
        <w:rPr>
          <w:rFonts w:ascii="Calibri" w:cs="Calibri" w:eastAsia="Calibri" w:hAnsi="Calibri"/>
          <w:sz w:val="22"/>
          <w:szCs w:val="22"/>
        </w:rPr>
        <w:t xml:space="preserve"/>
      </w:r>
    </w:p>
    <w:p>
      <w:pPr>
        <w:spacing w:after="80" w:before="80"/>
      </w:pPr>
      <w:r>
        <w:rPr>
          <w:rFonts w:ascii="Calibri" w:cs="Calibri" w:eastAsia="Calibri" w:hAnsi="Calibri"/>
          <w:sz w:val="22"/>
          <w:szCs w:val="22"/>
        </w:rPr>
        <w:t xml:space="preserve">Respectfully submitted,</w:t>
      </w:r>
    </w:p>
    <w:p>
      <w:r>
        <w:rPr>
          <w:rFonts w:ascii="Calibri" w:cs="Calibri" w:eastAsia="Calibri" w:hAnsi="Calibri"/>
          <w:sz w:val="22"/>
          <w:szCs w:val="22"/>
        </w:rPr>
        <w:t xml:space="preserve"/>
      </w:r>
    </w:p>
    <w:p>
      <w:pPr>
        <w:spacing w:after="80" w:before="80"/>
      </w:pPr>
      <w:r>
        <w:rPr>
          <w:rFonts w:ascii="Calibri" w:cs="Calibri" w:eastAsia="Calibri" w:hAnsi="Calibri"/>
          <w:sz w:val="22"/>
          <w:szCs w:val="22"/>
        </w:rPr>
        <w:t xml:space="preserve">\_\_\_\_\_\_\_\_\_\_\_\_\_\_\_\_\_\_\_\_\_\_\_\_\_\_\_\_\_\_\_\_</w:t>
      </w:r>
    </w:p>
    <w:p>
      <w:r>
        <w:rPr>
          <w:rFonts w:ascii="Calibri" w:cs="Calibri" w:eastAsia="Calibri" w:hAnsi="Calibri"/>
          <w:sz w:val="22"/>
          <w:szCs w:val="22"/>
        </w:rPr>
        <w:t xml:space="preserve"/>
      </w:r>
    </w:p>
    <w:p>
      <w:pPr>
        <w:spacing w:after="80" w:before="80"/>
      </w:pPr>
      <w:r>
        <w:rPr>
          <w:rFonts w:ascii="Calibri" w:cs="Calibri" w:eastAsia="Calibri" w:hAnsi="Calibri"/>
          <w:b/>
          <w:bCs/>
          <w:sz w:val="22"/>
          <w:szCs w:val="22"/>
        </w:rPr>
        <w:t xml:space="preserve">Eric Hargrave, CEO</w:t>
      </w:r>
    </w:p>
    <w:p>
      <w:pPr>
        <w:spacing w:after="80" w:before="80"/>
      </w:pPr>
      <w:r>
        <w:rPr>
          <w:rFonts w:ascii="Calibri" w:cs="Calibri" w:eastAsia="Calibri" w:hAnsi="Calibri"/>
          <w:sz w:val="22"/>
          <w:szCs w:val="22"/>
        </w:rPr>
        <w:t xml:space="preserve">Hargrave Innovative Solutions (Prime Contractor)</w:t>
      </w:r>
    </w:p>
    <w:p>
      <w:pPr>
        <w:spacing w:after="80" w:before="80"/>
      </w:pPr>
      <w:r>
        <w:rPr>
          <w:rFonts w:ascii="Calibri" w:cs="Calibri" w:eastAsia="Calibri" w:hAnsi="Calibri"/>
          <w:sz w:val="22"/>
          <w:szCs w:val="22"/>
        </w:rPr>
        <w:t xml:space="preserve">ericd@hisolution.org · 601-238-4186</w:t>
      </w:r>
    </w:p>
    <w:p>
      <w:r>
        <w:rPr>
          <w:rFonts w:ascii="Calibri" w:cs="Calibri" w:eastAsia="Calibri" w:hAnsi="Calibri"/>
          <w:sz w:val="22"/>
          <w:szCs w:val="22"/>
        </w:rPr>
        <w:t xml:space="preserve"/>
      </w:r>
    </w:p>
    <w:p>
      <w:pPr>
        <w:pBdr>
          <w:bottom w:val="single" w:color="888888" w:sz="6" w:space="1"/>
        </w:pBdr>
        <w:spacing w:after="120" w:before="120"/>
      </w:pPr>
    </w:p>
    <w:p>
      <w:r>
        <w:rPr>
          <w:rFonts w:ascii="Calibri" w:cs="Calibri" w:eastAsia="Calibri" w:hAnsi="Calibri"/>
          <w:sz w:val="22"/>
          <w:szCs w:val="22"/>
        </w:rPr>
        <w:t xml:space="preserve"/>
      </w:r>
    </w:p>
    <w:p>
      <w:pPr>
        <w:spacing w:after="220" w:before="360"/>
        <w:jc w:val="left"/>
      </w:pPr>
      <w:r>
        <w:rPr>
          <w:rFonts w:ascii="Calibri" w:cs="Calibri" w:eastAsia="Calibri" w:hAnsi="Calibri"/>
          <w:b/>
          <w:bCs/>
          <w:color w:val="0F4C81"/>
          <w:sz w:val="36"/>
          <w:szCs w:val="36"/>
        </w:rPr>
        <w:t xml:space="preserve">Section 2 — Executive Summary</w:t>
      </w:r>
    </w:p>
    <w:p>
      <w:r>
        <w:rPr>
          <w:rFonts w:ascii="Calibri" w:cs="Calibri" w:eastAsia="Calibri" w:hAnsi="Calibri"/>
          <w:sz w:val="22"/>
          <w:szCs w:val="22"/>
        </w:rPr>
        <w:t xml:space="preserve"/>
      </w:r>
    </w:p>
    <w:p>
      <w:pPr>
        <w:spacing w:after="160" w:before="320"/>
      </w:pPr>
      <w:r>
        <w:rPr>
          <w:rFonts w:ascii="Calibri" w:cs="Calibri" w:eastAsia="Calibri" w:hAnsi="Calibri"/>
          <w:b/>
          <w:bCs/>
          <w:color w:val="0F4C81"/>
          <w:sz w:val="28"/>
          <w:szCs w:val="28"/>
        </w:rPr>
        <w:t xml:space="preserve">2.1 The three-sentence thesis</w:t>
      </w:r>
    </w:p>
    <w:p>
      <w:r>
        <w:rPr>
          <w:rFonts w:ascii="Calibri" w:cs="Calibri" w:eastAsia="Calibri" w:hAnsi="Calibri"/>
          <w:sz w:val="22"/>
          <w:szCs w:val="22"/>
        </w:rPr>
        <w:t xml:space="preserve"/>
      </w:r>
    </w:p>
    <w:p>
      <w:pPr>
        <w:spacing w:after="80" w:before="80"/>
      </w:pPr>
      <w:r>
        <w:rPr>
          <w:rFonts w:ascii="Calibri" w:cs="Calibri" w:eastAsia="Calibri" w:hAnsi="Calibri"/>
          <w:sz w:val="22"/>
          <w:szCs w:val="22"/>
        </w:rPr>
        <w:t xml:space="preserve">Sedgwick County is already spending approximately $5.15M per year on unmanaged GLP-1 medications for 373 employees and dependents, with a ~47% twelve-month attrition rate that demonstrates prior authorization alone is not working. Vitality's integrated clinical-plus-coaching managed-care protocol can capture approximately $2.09M per year of that spend in Year 1 — nearly funding the entire program — while delivering a sustainable lifestyle change pathway for the broader 1,525 at-risk adult population. We build with, not against, UnitedHealthcare, OptumRx, and Rally; we displace no existing vendor; and we are the only respondent purpose-built for the four-partner program design model the County asked for.</w:t>
      </w:r>
    </w:p>
    <w:p>
      <w:r>
        <w:rPr>
          <w:rFonts w:ascii="Calibri" w:cs="Calibri" w:eastAsia="Calibri" w:hAnsi="Calibri"/>
          <w:sz w:val="22"/>
          <w:szCs w:val="22"/>
        </w:rPr>
        <w:t xml:space="preserve"/>
      </w:r>
    </w:p>
    <w:p>
      <w:pPr>
        <w:spacing w:after="160" w:before="320"/>
      </w:pPr>
      <w:r>
        <w:rPr>
          <w:rFonts w:ascii="Calibri" w:cs="Calibri" w:eastAsia="Calibri" w:hAnsi="Calibri"/>
          <w:b/>
          <w:bCs/>
          <w:color w:val="0F4C81"/>
          <w:sz w:val="28"/>
          <w:szCs w:val="28"/>
        </w:rPr>
        <w:t xml:space="preserve">2.2 What Vitality is</w:t>
      </w:r>
    </w:p>
    <w:p>
      <w:r>
        <w:rPr>
          <w:rFonts w:ascii="Calibri" w:cs="Calibri" w:eastAsia="Calibri" w:hAnsi="Calibri"/>
          <w:sz w:val="22"/>
          <w:szCs w:val="22"/>
        </w:rPr>
        <w:t xml:space="preserve"/>
      </w:r>
    </w:p>
    <w:p>
      <w:pPr>
        <w:spacing w:after="80" w:before="80"/>
      </w:pPr>
      <w:r>
        <w:rPr>
          <w:rFonts w:ascii="Calibri" w:cs="Calibri" w:eastAsia="Calibri" w:hAnsi="Calibri"/>
          <w:sz w:val="22"/>
          <w:szCs w:val="22"/>
        </w:rPr>
        <w:t xml:space="preserve">Vitality is a comprehensive, virtual-only weight management program designed for self-insured public-sector employers. The program combines:</w:t>
      </w:r>
    </w:p>
    <w:p>
      <w:r>
        <w:rPr>
          <w:rFonts w:ascii="Calibri" w:cs="Calibri" w:eastAsia="Calibri" w:hAnsi="Calibri"/>
          <w:sz w:val="22"/>
          <w:szCs w:val="22"/>
        </w:rPr>
        <w:t xml:space="preserve"/>
      </w:r>
    </w:p>
    <w:p>
      <w:pPr>
        <w:pStyle w:val="ListParagraph"/>
        <w:numPr>
          <w:ilvl w:val="0"/>
          <w:numId w:val="1"/>
        </w:numPr>
        <w:spacing w:after="60" w:before="60"/>
      </w:pPr>
      <w:r>
        <w:rPr>
          <w:rFonts w:ascii="Calibri" w:cs="Calibri" w:eastAsia="Calibri" w:hAnsi="Calibri"/>
          <w:b/>
          <w:bCs/>
          <w:sz w:val="22"/>
          <w:szCs w:val="22"/>
        </w:rPr>
        <w:t xml:space="preserve">Three evidence-based clinical pathways</w:t>
      </w:r>
      <w:r>
        <w:rPr>
          <w:rFonts w:ascii="Calibri" w:cs="Calibri" w:eastAsia="Calibri" w:hAnsi="Calibri"/>
          <w:sz w:val="22"/>
          <w:szCs w:val="22"/>
        </w:rPr>
        <w:t xml:space="preserve"> (Lifestyle, GLP-1-Managed, and Surgical-Coordinated), each anchored in published evidence (NIH/DPP, STEP Trials, LOOK AHEAD, RAND).</w:t>
      </w:r>
    </w:p>
    <w:p>
      <w:pPr>
        <w:pStyle w:val="ListParagraph"/>
        <w:numPr>
          <w:ilvl w:val="0"/>
          <w:numId w:val="1"/>
        </w:numPr>
        <w:spacing w:after="60" w:before="60"/>
      </w:pPr>
      <w:r>
        <w:rPr>
          <w:rFonts w:ascii="Calibri" w:cs="Calibri" w:eastAsia="Calibri" w:hAnsi="Calibri"/>
          <w:b/>
          <w:bCs/>
          <w:sz w:val="22"/>
          <w:szCs w:val="22"/>
        </w:rPr>
        <w:t xml:space="preserve">A 5-phase member journey</w:t>
      </w:r>
      <w:r>
        <w:rPr>
          <w:rFonts w:ascii="Calibri" w:cs="Calibri" w:eastAsia="Calibri" w:hAnsi="Calibri"/>
          <w:sz w:val="22"/>
          <w:szCs w:val="22"/>
        </w:rPr>
        <w:t xml:space="preserve"> (onboarding, baseline, intensive intervention, maintenance, graduation) overseen by Dr. Chela Love, DNP and her clinical team at Love Clinic MedSpa.</w:t>
      </w:r>
    </w:p>
    <w:p>
      <w:pPr>
        <w:pStyle w:val="ListParagraph"/>
        <w:numPr>
          <w:ilvl w:val="0"/>
          <w:numId w:val="1"/>
        </w:numPr>
        <w:spacing w:after="60" w:before="60"/>
      </w:pPr>
      <w:r>
        <w:rPr>
          <w:rFonts w:ascii="Calibri" w:cs="Calibri" w:eastAsia="Calibri" w:hAnsi="Calibri"/>
          <w:b/>
          <w:bCs/>
          <w:sz w:val="22"/>
          <w:szCs w:val="22"/>
        </w:rPr>
        <w:t xml:space="preserve">A behavioral coaching engine</w:t>
      </w:r>
      <w:r>
        <w:rPr>
          <w:rFonts w:ascii="Calibri" w:cs="Calibri" w:eastAsia="Calibri" w:hAnsi="Calibri"/>
          <w:sz w:val="22"/>
          <w:szCs w:val="22"/>
        </w:rPr>
        <w:t xml:space="preserve"> led by Dr. J. Michelle Vann, with weekly check-ins, lifestyle accountability, and family/youth program extensions.</w:t>
      </w:r>
    </w:p>
    <w:p>
      <w:pPr>
        <w:pStyle w:val="ListParagraph"/>
        <w:numPr>
          <w:ilvl w:val="0"/>
          <w:numId w:val="1"/>
        </w:numPr>
        <w:spacing w:after="60" w:before="60"/>
      </w:pPr>
      <w:r>
        <w:rPr>
          <w:rFonts w:ascii="Calibri" w:cs="Calibri" w:eastAsia="Calibri" w:hAnsi="Calibri"/>
          <w:b/>
          <w:bCs/>
          <w:sz w:val="22"/>
          <w:szCs w:val="22"/>
        </w:rPr>
        <w:t xml:space="preserve">A digital Progressive Web App platform</w:t>
      </w:r>
      <w:r>
        <w:rPr>
          <w:rFonts w:ascii="Calibri" w:cs="Calibri" w:eastAsia="Calibri" w:hAnsi="Calibri"/>
          <w:sz w:val="22"/>
          <w:szCs w:val="22"/>
        </w:rPr>
        <w:t xml:space="preserve"> (no app-store install required) built and operated by Dr. Terry D. Flood's team at The COLLABORATIVE Advocate Foundation, with FHIR/HL7 integration, persistent-memory AI coaching, and HIPAA-grade security.</w:t>
      </w:r>
    </w:p>
    <w:p>
      <w:pPr>
        <w:pStyle w:val="ListParagraph"/>
        <w:numPr>
          <w:ilvl w:val="0"/>
          <w:numId w:val="1"/>
        </w:numPr>
        <w:spacing w:after="60" w:before="60"/>
      </w:pPr>
      <w:r>
        <w:rPr>
          <w:rFonts w:ascii="Calibri" w:cs="Calibri" w:eastAsia="Calibri" w:hAnsi="Calibri"/>
          <w:b/>
          <w:bCs/>
          <w:sz w:val="22"/>
          <w:szCs w:val="22"/>
        </w:rPr>
        <w:t xml:space="preserve">Prime contractor administration</w:t>
      </w:r>
      <w:r>
        <w:rPr>
          <w:rFonts w:ascii="Calibri" w:cs="Calibri" w:eastAsia="Calibri" w:hAnsi="Calibri"/>
          <w:sz w:val="22"/>
          <w:szCs w:val="22"/>
        </w:rPr>
        <w:t xml:space="preserve"> by Hargrave Innovative Solutions, providing government contract management, compliance oversight, reporting coordination, and single-point accountability.</w:t>
      </w:r>
    </w:p>
    <w:p>
      <w:r>
        <w:rPr>
          <w:rFonts w:ascii="Calibri" w:cs="Calibri" w:eastAsia="Calibri" w:hAnsi="Calibri"/>
          <w:sz w:val="22"/>
          <w:szCs w:val="22"/>
        </w:rPr>
        <w:t xml:space="preserve"/>
      </w:r>
    </w:p>
    <w:p>
      <w:pPr>
        <w:spacing w:after="160" w:before="320"/>
      </w:pPr>
      <w:r>
        <w:rPr>
          <w:rFonts w:ascii="Calibri" w:cs="Calibri" w:eastAsia="Calibri" w:hAnsi="Calibri"/>
          <w:b/>
          <w:bCs/>
          <w:color w:val="0F4C81"/>
          <w:sz w:val="28"/>
          <w:szCs w:val="28"/>
        </w:rPr>
        <w:t xml:space="preserve">2.3 Why Vitality wins on the County's three named KPIs</w:t>
      </w:r>
    </w:p>
    <w:p>
      <w:r>
        <w:rPr>
          <w:rFonts w:ascii="Calibri" w:cs="Calibri" w:eastAsia="Calibri" w:hAnsi="Calibri"/>
          <w:sz w:val="22"/>
          <w:szCs w:val="22"/>
        </w:rPr>
        <w:t xml:space="preserve"/>
      </w:r>
    </w:p>
    <w:p>
      <w:pPr>
        <w:spacing w:after="80" w:before="80"/>
      </w:pPr>
      <w:r>
        <w:rPr>
          <w:rFonts w:ascii="Calibri" w:cs="Calibri" w:eastAsia="Calibri" w:hAnsi="Calibri"/>
          <w:sz w:val="22"/>
          <w:szCs w:val="22"/>
        </w:rPr>
        <w:t xml:space="preserve">The County named three KPIs in Addendum #2, in this order:</w:t>
      </w:r>
    </w:p>
    <w:p>
      <w:r>
        <w:rPr>
          <w:rFonts w:ascii="Calibri" w:cs="Calibri" w:eastAsia="Calibri" w:hAnsi="Calibri"/>
          <w:sz w:val="22"/>
          <w:szCs w:val="22"/>
        </w:rPr>
        <w:t xml:space="preserve"/>
      </w:r>
    </w:p>
    <w:p>
      <w:pPr>
        <w:pStyle w:val="ListParagraph"/>
        <w:numPr>
          <w:ilvl w:val="0"/>
          <w:numId w:val="2"/>
        </w:numPr>
        <w:spacing w:after="60" w:before="60"/>
      </w:pPr>
      <w:r>
        <w:rPr>
          <w:rFonts w:ascii="Calibri" w:cs="Calibri" w:eastAsia="Calibri" w:hAnsi="Calibri"/>
          <w:b/>
          <w:bCs/>
          <w:sz w:val="22"/>
          <w:szCs w:val="22"/>
        </w:rPr>
        <w:t xml:space="preserve">Member engagement</w:t>
      </w:r>
      <w:r>
        <w:rPr>
          <w:rFonts w:ascii="Calibri" w:cs="Calibri" w:eastAsia="Calibri" w:hAnsi="Calibri"/>
          <w:sz w:val="22"/>
          <w:szCs w:val="22"/>
        </w:rPr>
        <w:t xml:space="preserve"> — Vitality's VITA AI persistent-memory advisor remembers every prior conversation with each member and resumes context across sessions. Combined with Dr. Vann's weekly behavioral cadence, the program is designed to sustain engagement over 12–24 months, not just at signup.</w:t>
      </w:r>
    </w:p>
    <w:p>
      <w:pPr>
        <w:pStyle w:val="ListParagraph"/>
        <w:numPr>
          <w:ilvl w:val="0"/>
          <w:numId w:val="2"/>
        </w:numPr>
        <w:spacing w:after="60" w:before="60"/>
      </w:pPr>
      <w:r>
        <w:rPr>
          <w:rFonts w:ascii="Calibri" w:cs="Calibri" w:eastAsia="Calibri" w:hAnsi="Calibri"/>
          <w:b/>
          <w:bCs/>
          <w:sz w:val="22"/>
          <w:szCs w:val="22"/>
        </w:rPr>
        <w:t xml:space="preserve">Proper use of GLP-1s</w:t>
      </w:r>
      <w:r>
        <w:rPr>
          <w:rFonts w:ascii="Calibri" w:cs="Calibri" w:eastAsia="Calibri" w:hAnsi="Calibri"/>
          <w:sz w:val="22"/>
          <w:szCs w:val="22"/>
        </w:rPr>
        <w:t xml:space="preserve"> — Dr. Love's structured titration protocol, OptumRx fill-history reconciliation, and side-effect management directly address the attrition pattern visible in the County's 705 → 373 cohort data.</w:t>
      </w:r>
    </w:p>
    <w:p>
      <w:pPr>
        <w:pStyle w:val="ListParagraph"/>
        <w:numPr>
          <w:ilvl w:val="0"/>
          <w:numId w:val="2"/>
        </w:numPr>
        <w:spacing w:after="60" w:before="60"/>
      </w:pPr>
      <w:r>
        <w:rPr>
          <w:rFonts w:ascii="Calibri" w:cs="Calibri" w:eastAsia="Calibri" w:hAnsi="Calibri"/>
          <w:b/>
          <w:bCs/>
          <w:sz w:val="22"/>
          <w:szCs w:val="22"/>
        </w:rPr>
        <w:t xml:space="preserve">Cost savings</w:t>
      </w:r>
      <w:r>
        <w:rPr>
          <w:rFonts w:ascii="Calibri" w:cs="Calibri" w:eastAsia="Calibri" w:hAnsi="Calibri"/>
          <w:sz w:val="22"/>
          <w:szCs w:val="22"/>
        </w:rPr>
        <w:t xml:space="preserve"> — modeled Year-1 economic opportunity of approximately $3.05M (the $2.09M GLP-1 capture plus $675K medical and $282K productivity savings) against a $1.71M Year-1 program cost.</w:t>
      </w:r>
    </w:p>
    <w:p>
      <w:r>
        <w:rPr>
          <w:rFonts w:ascii="Calibri" w:cs="Calibri" w:eastAsia="Calibri" w:hAnsi="Calibri"/>
          <w:sz w:val="22"/>
          <w:szCs w:val="22"/>
        </w:rPr>
        <w:t xml:space="preserve"/>
      </w:r>
    </w:p>
    <w:p>
      <w:pPr>
        <w:spacing w:after="160" w:before="320"/>
      </w:pPr>
      <w:r>
        <w:rPr>
          <w:rFonts w:ascii="Calibri" w:cs="Calibri" w:eastAsia="Calibri" w:hAnsi="Calibri"/>
          <w:b/>
          <w:bCs/>
          <w:color w:val="0F4C81"/>
          <w:sz w:val="28"/>
          <w:szCs w:val="28"/>
        </w:rPr>
        <w:t xml:space="preserve">2.4 Why Vitality wins on the County's procurement preferences</w:t>
      </w:r>
    </w:p>
    <w:p>
      <w:r>
        <w:rPr>
          <w:rFonts w:ascii="Calibri" w:cs="Calibri" w:eastAsia="Calibri" w:hAnsi="Calibri"/>
          <w:sz w:val="22"/>
          <w:szCs w:val="22"/>
        </w:rPr>
        <w:t xml:space="preserve"/>
      </w:r>
    </w:p>
    <w:tbl>
      <w:tblPr>
        <w:tblW w:type="pct" w:w="100%"/>
        <w:tblBorders>
          <w:top w:val="single" w:color="BFBFBF" w:sz="4"/>
          <w:left w:val="single" w:color="BFBFBF" w:sz="4"/>
          <w:bottom w:val="single" w:color="BFBFBF" w:sz="4"/>
          <w:right w:val="single" w:color="BFBFBF" w:sz="4"/>
          <w:insideH w:val="single" w:color="D9D9D9" w:sz="2"/>
          <w:insideV w:val="single" w:color="D9D9D9" w:sz="2"/>
        </w:tblBorders>
      </w:tblPr>
      <w:tblGrid>
        <w:gridCol w:w="100"/>
        <w:gridCol w:w="100"/>
      </w:tblGrid>
      <w:tr>
        <w:trPr>
          <w:tblHeader/>
        </w:trPr>
        <w:tc>
          <w:tcPr>
            <w:tcW w:type="pct" w:w="50%"/>
            <w:shd w:fill="0F4C81"/>
            <w:tcMar>
              <w:top w:type="dxa" w:w="80"/>
              <w:left w:type="dxa" w:w="100"/>
              <w:bottom w:type="dxa" w:w="80"/>
              <w:right w:type="dxa" w:w="100"/>
            </w:tcMar>
          </w:tcPr>
          <w:p>
            <w:pPr>
              <w:spacing w:after="40" w:before="40"/>
            </w:pPr>
            <w:r>
              <w:rPr>
                <w:rFonts w:ascii="Calibri" w:cs="Calibri" w:eastAsia="Calibri" w:hAnsi="Calibri"/>
                <w:b/>
                <w:bCs/>
                <w:color w:val="FFFFFF"/>
                <w:sz w:val="20"/>
                <w:szCs w:val="20"/>
              </w:rPr>
              <w:t xml:space="preserve">County preference (from Addendum #2 and RFP)</w:t>
            </w:r>
          </w:p>
        </w:tc>
        <w:tc>
          <w:tcPr>
            <w:tcW w:type="pct" w:w="50%"/>
            <w:shd w:fill="0F4C81"/>
            <w:tcMar>
              <w:top w:type="dxa" w:w="80"/>
              <w:left w:type="dxa" w:w="100"/>
              <w:bottom w:type="dxa" w:w="80"/>
              <w:right w:type="dxa" w:w="100"/>
            </w:tcMar>
          </w:tcPr>
          <w:p>
            <w:pPr>
              <w:spacing w:after="40" w:before="40"/>
            </w:pPr>
            <w:r>
              <w:rPr>
                <w:rFonts w:ascii="Calibri" w:cs="Calibri" w:eastAsia="Calibri" w:hAnsi="Calibri"/>
                <w:b/>
                <w:bCs/>
                <w:color w:val="FFFFFF"/>
                <w:sz w:val="20"/>
                <w:szCs w:val="20"/>
              </w:rPr>
              <w:t xml:space="preserve">Vitality alignment</w:t>
            </w:r>
          </w:p>
        </w:tc>
      </w:tr>
      <w:tr>
        <w:tc>
          <w:tcPr>
            <w:tcW w:type="pct" w:w="50%"/>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Comprehensive solution, not administration</w:t>
            </w:r>
          </w:p>
        </w:tc>
        <w:tc>
          <w:tcPr>
            <w:tcW w:type="pct" w:w="50%"/>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Four-partner integrated team designs the program end-to-end</w:t>
            </w:r>
          </w:p>
        </w:tc>
      </w:tr>
      <w:tr>
        <w:tc>
          <w:tcPr>
            <w:tcW w:type="pct" w:w="50%"/>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Support-focused, not compliance-focused</w:t>
            </w:r>
          </w:p>
        </w:tc>
        <w:tc>
          <w:tcPr>
            <w:tcW w:type="pct" w:w="50%"/>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Coaching-plus-clinical wraparound; no PBM-style claim denial</w:t>
            </w:r>
          </w:p>
        </w:tc>
      </w:tr>
      <w:tr>
        <w:tc>
          <w:tcPr>
            <w:tcW w:type="pct" w:w="50%"/>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Virtual delivery only</w:t>
            </w:r>
          </w:p>
        </w:tc>
        <w:tc>
          <w:tcPr>
            <w:tcW w:type="pct" w:w="50%"/>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PWA-native platform; no onsite costs</w:t>
            </w:r>
          </w:p>
        </w:tc>
      </w:tr>
      <w:tr>
        <w:tc>
          <w:tcPr>
            <w:tcW w:type="pct" w:w="50%"/>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Adults 18+</w:t>
            </w:r>
          </w:p>
        </w:tc>
        <w:tc>
          <w:tcPr>
            <w:tcW w:type="pct" w:w="50%"/>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Adult-only clinical scope; simplified pathway</w:t>
            </w:r>
          </w:p>
        </w:tc>
      </w:tr>
      <w:tr>
        <w:tc>
          <w:tcPr>
            <w:tcW w:type="pct" w:w="50%"/>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Integration with existing UHC / OptumRx / Rally</w:t>
            </w:r>
          </w:p>
        </w:tc>
        <w:tc>
          <w:tcPr>
            <w:tcW w:type="pct" w:w="50%"/>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Coexistence architecture; FHIR/HL7-ready</w:t>
            </w:r>
          </w:p>
        </w:tc>
      </w:tr>
      <w:tr>
        <w:tc>
          <w:tcPr>
            <w:tcW w:type="pct" w:w="50%"/>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Either prescribing or coaching clinical model acceptable</w:t>
            </w:r>
          </w:p>
        </w:tc>
        <w:tc>
          <w:tcPr>
            <w:tcW w:type="pct" w:w="50%"/>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Vitality offers both inside a single program</w:t>
            </w:r>
          </w:p>
        </w:tc>
      </w:tr>
      <w:tr>
        <w:tc>
          <w:tcPr>
            <w:tcW w:type="pct" w:w="50%"/>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KPI focus: engagement, GLP-1 use, cost savings</w:t>
            </w:r>
          </w:p>
        </w:tc>
        <w:tc>
          <w:tcPr>
            <w:tcW w:type="pct" w:w="50%"/>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Native dashboard and quarterly report structure aligned to these three metrics</w:t>
            </w:r>
          </w:p>
        </w:tc>
      </w:tr>
    </w:tbl>
    <w:p>
      <w:r>
        <w:rPr>
          <w:rFonts w:ascii="Calibri" w:cs="Calibri" w:eastAsia="Calibri" w:hAnsi="Calibri"/>
          <w:sz w:val="22"/>
          <w:szCs w:val="22"/>
        </w:rPr>
        <w:t xml:space="preserve"/>
      </w:r>
    </w:p>
    <w:p>
      <w:r>
        <w:rPr>
          <w:rFonts w:ascii="Calibri" w:cs="Calibri" w:eastAsia="Calibri" w:hAnsi="Calibri"/>
          <w:sz w:val="22"/>
          <w:szCs w:val="22"/>
        </w:rPr>
        <w:t xml:space="preserve"/>
      </w:r>
    </w:p>
    <w:p>
      <w:pPr>
        <w:pBdr>
          <w:bottom w:val="single" w:color="888888" w:sz="6" w:space="1"/>
        </w:pBdr>
        <w:spacing w:after="120" w:before="120"/>
      </w:pPr>
    </w:p>
    <w:p>
      <w:r>
        <w:rPr>
          <w:rFonts w:ascii="Calibri" w:cs="Calibri" w:eastAsia="Calibri" w:hAnsi="Calibri"/>
          <w:sz w:val="22"/>
          <w:szCs w:val="22"/>
        </w:rPr>
        <w:t xml:space="preserve"/>
      </w:r>
    </w:p>
    <w:p>
      <w:pPr>
        <w:spacing w:after="220" w:before="360"/>
        <w:jc w:val="left"/>
      </w:pPr>
      <w:r>
        <w:rPr>
          <w:rFonts w:ascii="Calibri" w:cs="Calibri" w:eastAsia="Calibri" w:hAnsi="Calibri"/>
          <w:b/>
          <w:bCs/>
          <w:color w:val="0F4C81"/>
          <w:sz w:val="36"/>
          <w:szCs w:val="36"/>
        </w:rPr>
        <w:t xml:space="preserve">Section 3 — Team and Organizational Qualifications</w:t>
      </w:r>
    </w:p>
    <w:p>
      <w:r>
        <w:rPr>
          <w:rFonts w:ascii="Calibri" w:cs="Calibri" w:eastAsia="Calibri" w:hAnsi="Calibri"/>
          <w:sz w:val="22"/>
          <w:szCs w:val="22"/>
        </w:rPr>
        <w:t xml:space="preserve"/>
      </w:r>
    </w:p>
    <w:p>
      <w:pPr>
        <w:spacing w:after="80" w:before="80"/>
      </w:pPr>
      <w:r>
        <w:rPr>
          <w:rFonts w:ascii="Calibri" w:cs="Calibri" w:eastAsia="Calibri" w:hAnsi="Calibri"/>
          <w:sz w:val="22"/>
          <w:szCs w:val="22"/>
        </w:rPr>
        <w:t xml:space="preserve">Vitality is delivered by a four-partner team. Three of four partners are headquartered in Wichita; the fourth is a U.S. Army retiree with extensive federal and public-sector implementation experience. The team is purpose-built for the integrated clinical-plus-coaching-plus-platform model the County asked for.</w:t>
      </w:r>
    </w:p>
    <w:p>
      <w:r>
        <w:rPr>
          <w:rFonts w:ascii="Calibri" w:cs="Calibri" w:eastAsia="Calibri" w:hAnsi="Calibri"/>
          <w:sz w:val="22"/>
          <w:szCs w:val="22"/>
        </w:rPr>
        <w:t xml:space="preserve"/>
      </w:r>
    </w:p>
    <w:p>
      <w:pPr>
        <w:spacing w:after="160" w:before="320"/>
      </w:pPr>
      <w:r>
        <w:rPr>
          <w:rFonts w:ascii="Calibri" w:cs="Calibri" w:eastAsia="Calibri" w:hAnsi="Calibri"/>
          <w:b/>
          <w:bCs/>
          <w:color w:val="0F4C81"/>
          <w:sz w:val="28"/>
          <w:szCs w:val="28"/>
        </w:rPr>
        <w:t xml:space="preserve">3.1 Prime Contractor — Hargrave Innovative Solutions (HIS)</w:t>
      </w:r>
    </w:p>
    <w:p>
      <w:r>
        <w:rPr>
          <w:rFonts w:ascii="Calibri" w:cs="Calibri" w:eastAsia="Calibri" w:hAnsi="Calibri"/>
          <w:sz w:val="22"/>
          <w:szCs w:val="22"/>
        </w:rPr>
        <w:t xml:space="preserve"/>
      </w:r>
    </w:p>
    <w:p>
      <w:pPr>
        <w:spacing w:after="80" w:before="80"/>
      </w:pPr>
      <w:r>
        <w:rPr>
          <w:rFonts w:ascii="Calibri" w:cs="Calibri" w:eastAsia="Calibri" w:hAnsi="Calibri"/>
          <w:b/>
          <w:bCs/>
          <w:sz w:val="22"/>
          <w:szCs w:val="22"/>
        </w:rPr>
        <w:t xml:space="preserve">Principal:</w:t>
      </w:r>
      <w:r>
        <w:rPr>
          <w:rFonts w:ascii="Calibri" w:cs="Calibri" w:eastAsia="Calibri" w:hAnsi="Calibri"/>
          <w:sz w:val="22"/>
          <w:szCs w:val="22"/>
        </w:rPr>
        <w:t xml:space="preserve"> Eric Hargrave, CEO — ericd@hisolution.org · 601-238-4186</w:t>
      </w:r>
    </w:p>
    <w:p>
      <w:r>
        <w:rPr>
          <w:rFonts w:ascii="Calibri" w:cs="Calibri" w:eastAsia="Calibri" w:hAnsi="Calibri"/>
          <w:sz w:val="22"/>
          <w:szCs w:val="22"/>
        </w:rPr>
        <w:t xml:space="preserve"/>
      </w:r>
    </w:p>
    <w:p>
      <w:pPr>
        <w:spacing w:after="80" w:before="80"/>
      </w:pPr>
      <w:r>
        <w:rPr>
          <w:rFonts w:ascii="Calibri" w:cs="Calibri" w:eastAsia="Calibri" w:hAnsi="Calibri"/>
          <w:b/>
          <w:bCs/>
          <w:sz w:val="22"/>
          <w:szCs w:val="22"/>
        </w:rPr>
        <w:t xml:space="preserve">Role under this contract:</w:t>
      </w:r>
      <w:r>
        <w:rPr>
          <w:rFonts w:ascii="Calibri" w:cs="Calibri" w:eastAsia="Calibri" w:hAnsi="Calibri"/>
          <w:sz w:val="22"/>
          <w:szCs w:val="22"/>
        </w:rPr>
        <w:t xml:space="preserve"> Prime contractor with single-point accountability to Sedgwick County. Responsibilities include government contract management, compliance oversight, reporting coordination, administrative support, financial management, subcontractor coordination, performance management, and BAA execution.</w:t>
      </w:r>
    </w:p>
    <w:p>
      <w:r>
        <w:rPr>
          <w:rFonts w:ascii="Calibri" w:cs="Calibri" w:eastAsia="Calibri" w:hAnsi="Calibri"/>
          <w:sz w:val="22"/>
          <w:szCs w:val="22"/>
        </w:rPr>
        <w:t xml:space="preserve"/>
      </w:r>
    </w:p>
    <w:p>
      <w:pPr>
        <w:spacing w:after="80" w:before="80"/>
      </w:pPr>
      <w:r>
        <w:rPr>
          <w:rFonts w:ascii="Calibri" w:cs="Calibri" w:eastAsia="Calibri" w:hAnsi="Calibri"/>
          <w:b/>
          <w:bCs/>
          <w:sz w:val="22"/>
          <w:szCs w:val="22"/>
        </w:rPr>
        <w:t xml:space="preserve">Relevant experience:</w:t>
      </w:r>
      <w:r>
        <w:rPr>
          <w:rFonts w:ascii="Calibri" w:cs="Calibri" w:eastAsia="Calibri" w:hAnsi="Calibri"/>
          <w:sz w:val="22"/>
          <w:szCs w:val="22"/>
        </w:rPr>
        <w:t xml:space="preserve"> Health-tech platform delivery and multi-vendor IT consulting. Active prime contractor with public-sector engagements. References available upon request.</w:t>
      </w:r>
    </w:p>
    <w:p>
      <w:r>
        <w:rPr>
          <w:rFonts w:ascii="Calibri" w:cs="Calibri" w:eastAsia="Calibri" w:hAnsi="Calibri"/>
          <w:sz w:val="22"/>
          <w:szCs w:val="22"/>
        </w:rPr>
        <w:t xml:space="preserve"/>
      </w:r>
    </w:p>
    <w:p>
      <w:pPr>
        <w:spacing w:after="160" w:before="320"/>
      </w:pPr>
      <w:r>
        <w:rPr>
          <w:rFonts w:ascii="Calibri" w:cs="Calibri" w:eastAsia="Calibri" w:hAnsi="Calibri"/>
          <w:b/>
          <w:bCs/>
          <w:color w:val="0F4C81"/>
          <w:sz w:val="28"/>
          <w:szCs w:val="28"/>
        </w:rPr>
        <w:t xml:space="preserve">3.2 Clinical Lead — Love Clinic MedSpa</w:t>
      </w:r>
    </w:p>
    <w:p>
      <w:r>
        <w:rPr>
          <w:rFonts w:ascii="Calibri" w:cs="Calibri" w:eastAsia="Calibri" w:hAnsi="Calibri"/>
          <w:sz w:val="22"/>
          <w:szCs w:val="22"/>
        </w:rPr>
        <w:t xml:space="preserve"/>
      </w:r>
    </w:p>
    <w:p>
      <w:pPr>
        <w:spacing w:after="80" w:before="80"/>
      </w:pPr>
      <w:r>
        <w:rPr>
          <w:rFonts w:ascii="Calibri" w:cs="Calibri" w:eastAsia="Calibri" w:hAnsi="Calibri"/>
          <w:b/>
          <w:bCs/>
          <w:sz w:val="22"/>
          <w:szCs w:val="22"/>
        </w:rPr>
        <w:t xml:space="preserve">Principal:</w:t>
      </w:r>
      <w:r>
        <w:rPr>
          <w:rFonts w:ascii="Calibri" w:cs="Calibri" w:eastAsia="Calibri" w:hAnsi="Calibri"/>
          <w:sz w:val="22"/>
          <w:szCs w:val="22"/>
        </w:rPr>
        <w:t xml:space="preserve"> Dr. Chela Love, DNP — chelalove@loveclinicmedspa.com · 316-669-4770</w:t>
      </w:r>
    </w:p>
    <w:p>
      <w:r>
        <w:rPr>
          <w:rFonts w:ascii="Calibri" w:cs="Calibri" w:eastAsia="Calibri" w:hAnsi="Calibri"/>
          <w:sz w:val="22"/>
          <w:szCs w:val="22"/>
        </w:rPr>
        <w:t xml:space="preserve"/>
      </w:r>
    </w:p>
    <w:p>
      <w:pPr>
        <w:spacing w:after="80" w:before="80"/>
      </w:pPr>
      <w:r>
        <w:rPr>
          <w:rFonts w:ascii="Calibri" w:cs="Calibri" w:eastAsia="Calibri" w:hAnsi="Calibri"/>
          <w:b/>
          <w:bCs/>
          <w:sz w:val="22"/>
          <w:szCs w:val="22"/>
        </w:rPr>
        <w:t xml:space="preserve">Location:</w:t>
      </w:r>
      <w:r>
        <w:rPr>
          <w:rFonts w:ascii="Calibri" w:cs="Calibri" w:eastAsia="Calibri" w:hAnsi="Calibri"/>
          <w:sz w:val="22"/>
          <w:szCs w:val="22"/>
        </w:rPr>
        <w:t xml:space="preserve"> 214 S Rock Rd, Suite 101, Wichita, KS 67207 · www.loveclinicmedspa.com</w:t>
      </w:r>
    </w:p>
    <w:p>
      <w:r>
        <w:rPr>
          <w:rFonts w:ascii="Calibri" w:cs="Calibri" w:eastAsia="Calibri" w:hAnsi="Calibri"/>
          <w:sz w:val="22"/>
          <w:szCs w:val="22"/>
        </w:rPr>
        <w:t xml:space="preserve"/>
      </w:r>
    </w:p>
    <w:p>
      <w:pPr>
        <w:spacing w:after="80" w:before="80"/>
      </w:pPr>
      <w:r>
        <w:rPr>
          <w:rFonts w:ascii="Calibri" w:cs="Calibri" w:eastAsia="Calibri" w:hAnsi="Calibri"/>
          <w:b/>
          <w:bCs/>
          <w:sz w:val="22"/>
          <w:szCs w:val="22"/>
        </w:rPr>
        <w:t xml:space="preserve">Role under this contract:</w:t>
      </w:r>
      <w:r>
        <w:rPr>
          <w:rFonts w:ascii="Calibri" w:cs="Calibri" w:eastAsia="Calibri" w:hAnsi="Calibri"/>
          <w:sz w:val="22"/>
          <w:szCs w:val="22"/>
        </w:rPr>
        <w:t xml:space="preserve"> Medical oversight, GLP-1 protocol design and supervision, prescribing authority for in-program GLP-1 management pathway, clinical governance, member medical care.</w:t>
      </w:r>
    </w:p>
    <w:p>
      <w:r>
        <w:rPr>
          <w:rFonts w:ascii="Calibri" w:cs="Calibri" w:eastAsia="Calibri" w:hAnsi="Calibri"/>
          <w:sz w:val="22"/>
          <w:szCs w:val="22"/>
        </w:rPr>
        <w:t xml:space="preserve"/>
      </w:r>
    </w:p>
    <w:p>
      <w:pPr>
        <w:spacing w:after="80" w:before="80"/>
      </w:pPr>
      <w:r>
        <w:rPr>
          <w:rFonts w:ascii="Calibri" w:cs="Calibri" w:eastAsia="Calibri" w:hAnsi="Calibri"/>
          <w:b/>
          <w:bCs/>
          <w:sz w:val="22"/>
          <w:szCs w:val="22"/>
        </w:rPr>
        <w:t xml:space="preserve">Relevant experience:</w:t>
      </w:r>
      <w:r>
        <w:rPr>
          <w:rFonts w:ascii="Calibri" w:cs="Calibri" w:eastAsia="Calibri" w:hAnsi="Calibri"/>
          <w:sz w:val="22"/>
          <w:szCs w:val="22"/>
        </w:rPr>
        <w:t xml:space="preserve"> Active clinical practice in Wichita with substantial GLP-1 patient panel. Active Kansas DNP licensure. References available from current patient panel and referring providers, subject to HIPAA authorization.</w:t>
      </w:r>
    </w:p>
    <w:p>
      <w:r>
        <w:rPr>
          <w:rFonts w:ascii="Calibri" w:cs="Calibri" w:eastAsia="Calibri" w:hAnsi="Calibri"/>
          <w:sz w:val="22"/>
          <w:szCs w:val="22"/>
        </w:rPr>
        <w:t xml:space="preserve"/>
      </w:r>
    </w:p>
    <w:p>
      <w:pPr>
        <w:spacing w:after="160" w:before="320"/>
      </w:pPr>
      <w:r>
        <w:rPr>
          <w:rFonts w:ascii="Calibri" w:cs="Calibri" w:eastAsia="Calibri" w:hAnsi="Calibri"/>
          <w:b/>
          <w:bCs/>
          <w:color w:val="0F4C81"/>
          <w:sz w:val="28"/>
          <w:szCs w:val="28"/>
        </w:rPr>
        <w:t xml:space="preserve">3.3 Wellness Lead — Vanntastic Solutions</w:t>
      </w:r>
    </w:p>
    <w:p>
      <w:r>
        <w:rPr>
          <w:rFonts w:ascii="Calibri" w:cs="Calibri" w:eastAsia="Calibri" w:hAnsi="Calibri"/>
          <w:sz w:val="22"/>
          <w:szCs w:val="22"/>
        </w:rPr>
        <w:t xml:space="preserve"/>
      </w:r>
    </w:p>
    <w:p>
      <w:pPr>
        <w:spacing w:after="80" w:before="80"/>
      </w:pPr>
      <w:r>
        <w:rPr>
          <w:rFonts w:ascii="Calibri" w:cs="Calibri" w:eastAsia="Calibri" w:hAnsi="Calibri"/>
          <w:b/>
          <w:bCs/>
          <w:sz w:val="22"/>
          <w:szCs w:val="22"/>
        </w:rPr>
        <w:t xml:space="preserve">Principal:</w:t>
      </w:r>
      <w:r>
        <w:rPr>
          <w:rFonts w:ascii="Calibri" w:cs="Calibri" w:eastAsia="Calibri" w:hAnsi="Calibri"/>
          <w:sz w:val="22"/>
          <w:szCs w:val="22"/>
        </w:rPr>
        <w:t xml:space="preserve"> Dr. J. Michelle Vann, Dcc, ThD, MS — 316-350-2601 · www.jmichellevann.com</w:t>
      </w:r>
    </w:p>
    <w:p>
      <w:r>
        <w:rPr>
          <w:rFonts w:ascii="Calibri" w:cs="Calibri" w:eastAsia="Calibri" w:hAnsi="Calibri"/>
          <w:sz w:val="22"/>
          <w:szCs w:val="22"/>
        </w:rPr>
        <w:t xml:space="preserve"/>
      </w:r>
    </w:p>
    <w:p>
      <w:pPr>
        <w:spacing w:after="80" w:before="80"/>
      </w:pPr>
      <w:r>
        <w:rPr>
          <w:rFonts w:ascii="Calibri" w:cs="Calibri" w:eastAsia="Calibri" w:hAnsi="Calibri"/>
          <w:b/>
          <w:bCs/>
          <w:sz w:val="22"/>
          <w:szCs w:val="22"/>
        </w:rPr>
        <w:t xml:space="preserve">Role under this contract:</w:t>
      </w:r>
      <w:r>
        <w:rPr>
          <w:rFonts w:ascii="Calibri" w:cs="Calibri" w:eastAsia="Calibri" w:hAnsi="Calibri"/>
          <w:sz w:val="22"/>
          <w:szCs w:val="22"/>
        </w:rPr>
        <w:t xml:space="preserve"> Wellness coaching, behavioral engagement, lifestyle accountability, weekly member check-in cadence, family and youth programming extensions for members with dependents.</w:t>
      </w:r>
    </w:p>
    <w:p>
      <w:r>
        <w:rPr>
          <w:rFonts w:ascii="Calibri" w:cs="Calibri" w:eastAsia="Calibri" w:hAnsi="Calibri"/>
          <w:sz w:val="22"/>
          <w:szCs w:val="22"/>
        </w:rPr>
        <w:t xml:space="preserve"/>
      </w:r>
    </w:p>
    <w:p>
      <w:pPr>
        <w:spacing w:after="80" w:before="80"/>
      </w:pPr>
      <w:r>
        <w:rPr>
          <w:rFonts w:ascii="Calibri" w:cs="Calibri" w:eastAsia="Calibri" w:hAnsi="Calibri"/>
          <w:b/>
          <w:bCs/>
          <w:sz w:val="22"/>
          <w:szCs w:val="22"/>
        </w:rPr>
        <w:t xml:space="preserve">Relevant experience:</w:t>
      </w:r>
      <w:r>
        <w:rPr>
          <w:rFonts w:ascii="Calibri" w:cs="Calibri" w:eastAsia="Calibri" w:hAnsi="Calibri"/>
          <w:sz w:val="22"/>
          <w:szCs w:val="22"/>
        </w:rPr>
        <w:t xml:space="preserve"> Recognized public speaker (TEDx). Substantive work in youth and family wellness programming and community-based health initiatives in the Wichita area. Active speaker and content creator on lifestyle accountability and behavioral health.</w:t>
      </w:r>
    </w:p>
    <w:p>
      <w:r>
        <w:rPr>
          <w:rFonts w:ascii="Calibri" w:cs="Calibri" w:eastAsia="Calibri" w:hAnsi="Calibri"/>
          <w:sz w:val="22"/>
          <w:szCs w:val="22"/>
        </w:rPr>
        <w:t xml:space="preserve"/>
      </w:r>
    </w:p>
    <w:p>
      <w:pPr>
        <w:spacing w:after="160" w:before="320"/>
      </w:pPr>
      <w:r>
        <w:rPr>
          <w:rFonts w:ascii="Calibri" w:cs="Calibri" w:eastAsia="Calibri" w:hAnsi="Calibri"/>
          <w:b/>
          <w:bCs/>
          <w:color w:val="0F4C81"/>
          <w:sz w:val="28"/>
          <w:szCs w:val="28"/>
        </w:rPr>
        <w:t xml:space="preserve">3.4 Platform and Data Lead — The COLLABORATIVE Advocate Foundation</w:t>
      </w:r>
    </w:p>
    <w:p>
      <w:r>
        <w:rPr>
          <w:rFonts w:ascii="Calibri" w:cs="Calibri" w:eastAsia="Calibri" w:hAnsi="Calibri"/>
          <w:sz w:val="22"/>
          <w:szCs w:val="22"/>
        </w:rPr>
        <w:t xml:space="preserve"/>
      </w:r>
    </w:p>
    <w:p>
      <w:pPr>
        <w:spacing w:after="80" w:before="80"/>
      </w:pPr>
      <w:r>
        <w:rPr>
          <w:rFonts w:ascii="Calibri" w:cs="Calibri" w:eastAsia="Calibri" w:hAnsi="Calibri"/>
          <w:b/>
          <w:bCs/>
          <w:sz w:val="22"/>
          <w:szCs w:val="22"/>
        </w:rPr>
        <w:t xml:space="preserve">Principal:</w:t>
      </w:r>
      <w:r>
        <w:rPr>
          <w:rFonts w:ascii="Calibri" w:cs="Calibri" w:eastAsia="Calibri" w:hAnsi="Calibri"/>
          <w:sz w:val="22"/>
          <w:szCs w:val="22"/>
        </w:rPr>
        <w:t xml:space="preserve"> Dr. Terry D. Flood, DHA, EdD — 254-319-8460</w:t>
      </w:r>
    </w:p>
    <w:p>
      <w:r>
        <w:rPr>
          <w:rFonts w:ascii="Calibri" w:cs="Calibri" w:eastAsia="Calibri" w:hAnsi="Calibri"/>
          <w:sz w:val="22"/>
          <w:szCs w:val="22"/>
        </w:rPr>
        <w:t xml:space="preserve"/>
      </w:r>
    </w:p>
    <w:p>
      <w:pPr>
        <w:spacing w:after="80" w:before="80"/>
      </w:pPr>
      <w:r>
        <w:rPr>
          <w:rFonts w:ascii="Calibri" w:cs="Calibri" w:eastAsia="Calibri" w:hAnsi="Calibri"/>
          <w:b/>
          <w:bCs/>
          <w:sz w:val="22"/>
          <w:szCs w:val="22"/>
        </w:rPr>
        <w:t xml:space="preserve">Role under this contract:</w:t>
      </w:r>
      <w:r>
        <w:rPr>
          <w:rFonts w:ascii="Calibri" w:cs="Calibri" w:eastAsia="Calibri" w:hAnsi="Calibri"/>
          <w:sz w:val="22"/>
          <w:szCs w:val="22"/>
        </w:rPr>
        <w:t xml:space="preserve"> Digital platform and app development, participant engagement systems, reporting and analytics, healthcare data architecture, FHIR/HL7 integration, security and HIPAA technical controls.</w:t>
      </w:r>
    </w:p>
    <w:p>
      <w:r>
        <w:rPr>
          <w:rFonts w:ascii="Calibri" w:cs="Calibri" w:eastAsia="Calibri" w:hAnsi="Calibri"/>
          <w:sz w:val="22"/>
          <w:szCs w:val="22"/>
        </w:rPr>
        <w:t xml:space="preserve"/>
      </w:r>
    </w:p>
    <w:p>
      <w:pPr>
        <w:spacing w:after="80" w:before="80"/>
      </w:pPr>
      <w:r>
        <w:rPr>
          <w:rFonts w:ascii="Calibri" w:cs="Calibri" w:eastAsia="Calibri" w:hAnsi="Calibri"/>
          <w:b/>
          <w:bCs/>
          <w:sz w:val="22"/>
          <w:szCs w:val="22"/>
        </w:rPr>
        <w:t xml:space="preserve">Credentials:</w:t>
      </w:r>
      <w:r>
        <w:rPr>
          <w:rFonts w:ascii="Calibri" w:cs="Calibri" w:eastAsia="Calibri" w:hAnsi="Calibri"/>
          <w:sz w:val="22"/>
          <w:szCs w:val="22"/>
        </w:rPr>
        <w:t xml:space="preserve"> DHA, EdD, MSIOP, MSW(c), MSL, MSCJPP, MSHRM, MSIS(c), BHA, CHW-I</w:t>
      </w:r>
    </w:p>
    <w:p>
      <w:r>
        <w:rPr>
          <w:rFonts w:ascii="Calibri" w:cs="Calibri" w:eastAsia="Calibri" w:hAnsi="Calibri"/>
          <w:sz w:val="22"/>
          <w:szCs w:val="22"/>
        </w:rPr>
        <w:t xml:space="preserve"/>
      </w:r>
    </w:p>
    <w:p>
      <w:pPr>
        <w:spacing w:after="80" w:before="80"/>
      </w:pPr>
      <w:r>
        <w:rPr>
          <w:rFonts w:ascii="Calibri" w:cs="Calibri" w:eastAsia="Calibri" w:hAnsi="Calibri"/>
          <w:b/>
          <w:bCs/>
          <w:sz w:val="22"/>
          <w:szCs w:val="22"/>
        </w:rPr>
        <w:t xml:space="preserve">Relevant experience:</w:t>
      </w:r>
      <w:r>
        <w:rPr>
          <w:rFonts w:ascii="Calibri" w:cs="Calibri" w:eastAsia="Calibri" w:hAnsi="Calibri"/>
          <w:sz w:val="22"/>
          <w:szCs w:val="22"/>
        </w:rPr>
        <w:t xml:space="preserve"> U.S. Army retiree with extensive public-sector implementation background. Active Secret-level clearance. PMP-eligible. Specialization in healthcare data standards (FHIR, HL7), population health analytics, and federal-grade systems implementation.</w:t>
      </w:r>
    </w:p>
    <w:p>
      <w:r>
        <w:rPr>
          <w:rFonts w:ascii="Calibri" w:cs="Calibri" w:eastAsia="Calibri" w:hAnsi="Calibri"/>
          <w:sz w:val="22"/>
          <w:szCs w:val="22"/>
        </w:rPr>
        <w:t xml:space="preserve"/>
      </w:r>
    </w:p>
    <w:p>
      <w:pPr>
        <w:spacing w:after="160" w:before="320"/>
      </w:pPr>
      <w:r>
        <w:rPr>
          <w:rFonts w:ascii="Calibri" w:cs="Calibri" w:eastAsia="Calibri" w:hAnsi="Calibri"/>
          <w:b/>
          <w:bCs/>
          <w:color w:val="0F4C81"/>
          <w:sz w:val="28"/>
          <w:szCs w:val="28"/>
        </w:rPr>
        <w:t xml:space="preserve">3.5 Subcontracting structure</w:t>
      </w:r>
    </w:p>
    <w:p>
      <w:r>
        <w:rPr>
          <w:rFonts w:ascii="Calibri" w:cs="Calibri" w:eastAsia="Calibri" w:hAnsi="Calibri"/>
          <w:sz w:val="22"/>
          <w:szCs w:val="22"/>
        </w:rPr>
        <w:t xml:space="preserve"/>
      </w:r>
    </w:p>
    <w:p>
      <w:pPr>
        <w:spacing w:after="80" w:before="80"/>
      </w:pPr>
      <w:r>
        <w:rPr>
          <w:rFonts w:ascii="Calibri" w:cs="Calibri" w:eastAsia="Calibri" w:hAnsi="Calibri"/>
          <w:sz w:val="22"/>
          <w:szCs w:val="22"/>
        </w:rPr>
        <w:t xml:space="preserve">Hargrave Innovative Solutions is the sole Prime Contractor. Love Clinic MedSpa, Vanntastic Solutions, and The COLLABORATIVE Advocate Foundation are named subcontractors. All four partners have agreed to the team structure and have authorized this proposal. The County contracts only with HIS; HIS holds three back-to-back subcontract agreements that flow down all material terms (including HIPAA / BAA, insurance, performance standards, and termination provisions) from the County contract.</w:t>
      </w:r>
    </w:p>
    <w:p>
      <w:r>
        <w:rPr>
          <w:rFonts w:ascii="Calibri" w:cs="Calibri" w:eastAsia="Calibri" w:hAnsi="Calibri"/>
          <w:sz w:val="22"/>
          <w:szCs w:val="22"/>
        </w:rPr>
        <w:t xml:space="preserve"/>
      </w:r>
    </w:p>
    <w:p>
      <w:pPr>
        <w:spacing w:after="80" w:before="80"/>
      </w:pPr>
      <w:r>
        <w:rPr>
          <w:rFonts w:ascii="Calibri" w:cs="Calibri" w:eastAsia="Calibri" w:hAnsi="Calibri"/>
          <w:sz w:val="22"/>
          <w:szCs w:val="22"/>
        </w:rPr>
        <w:t xml:space="preserve">This structure provides the County with:</w:t>
      </w:r>
    </w:p>
    <w:p>
      <w:pPr>
        <w:pStyle w:val="ListParagraph"/>
        <w:numPr>
          <w:ilvl w:val="0"/>
          <w:numId w:val="1"/>
        </w:numPr>
        <w:spacing w:after="60" w:before="60"/>
      </w:pPr>
      <w:r>
        <w:rPr>
          <w:rFonts w:ascii="Calibri" w:cs="Calibri" w:eastAsia="Calibri" w:hAnsi="Calibri"/>
          <w:sz w:val="22"/>
          <w:szCs w:val="22"/>
        </w:rPr>
        <w:t xml:space="preserve">A single point of contact (Eric Hargrave) for all contractual, performance, and escalation matters</w:t>
      </w:r>
    </w:p>
    <w:p>
      <w:pPr>
        <w:pStyle w:val="ListParagraph"/>
        <w:numPr>
          <w:ilvl w:val="0"/>
          <w:numId w:val="1"/>
        </w:numPr>
        <w:spacing w:after="60" w:before="60"/>
      </w:pPr>
      <w:r>
        <w:rPr>
          <w:rFonts w:ascii="Calibri" w:cs="Calibri" w:eastAsia="Calibri" w:hAnsi="Calibri"/>
          <w:sz w:val="22"/>
          <w:szCs w:val="22"/>
        </w:rPr>
        <w:t xml:space="preserve">Single-source billing and accounts payable</w:t>
      </w:r>
    </w:p>
    <w:p>
      <w:pPr>
        <w:pStyle w:val="ListParagraph"/>
        <w:numPr>
          <w:ilvl w:val="0"/>
          <w:numId w:val="1"/>
        </w:numPr>
        <w:spacing w:after="60" w:before="60"/>
      </w:pPr>
      <w:r>
        <w:rPr>
          <w:rFonts w:ascii="Calibri" w:cs="Calibri" w:eastAsia="Calibri" w:hAnsi="Calibri"/>
          <w:sz w:val="22"/>
          <w:szCs w:val="22"/>
        </w:rPr>
        <w:t xml:space="preserve">Disciplined compliance management through HIS's prime-contractor administrative function</w:t>
      </w:r>
    </w:p>
    <w:p>
      <w:pPr>
        <w:pStyle w:val="ListParagraph"/>
        <w:numPr>
          <w:ilvl w:val="0"/>
          <w:numId w:val="1"/>
        </w:numPr>
        <w:spacing w:after="60" w:before="60"/>
      </w:pPr>
      <w:r>
        <w:rPr>
          <w:rFonts w:ascii="Calibri" w:cs="Calibri" w:eastAsia="Calibri" w:hAnsi="Calibri"/>
          <w:sz w:val="22"/>
          <w:szCs w:val="22"/>
        </w:rPr>
        <w:t xml:space="preserve">Clear delineation of clinical responsibility (Dr. Love), wellness responsibility (Dr. Vann), and technology responsibility (Dr. Flood)</w:t>
      </w:r>
    </w:p>
    <w:p>
      <w:r>
        <w:rPr>
          <w:rFonts w:ascii="Calibri" w:cs="Calibri" w:eastAsia="Calibri" w:hAnsi="Calibri"/>
          <w:sz w:val="22"/>
          <w:szCs w:val="22"/>
        </w:rPr>
        <w:t xml:space="preserve"/>
      </w:r>
    </w:p>
    <w:p>
      <w:pPr>
        <w:pBdr>
          <w:bottom w:val="single" w:color="888888" w:sz="6" w:space="1"/>
        </w:pBdr>
        <w:spacing w:after="120" w:before="120"/>
      </w:pPr>
    </w:p>
    <w:p>
      <w:r>
        <w:rPr>
          <w:rFonts w:ascii="Calibri" w:cs="Calibri" w:eastAsia="Calibri" w:hAnsi="Calibri"/>
          <w:sz w:val="22"/>
          <w:szCs w:val="22"/>
        </w:rPr>
        <w:t xml:space="preserve"/>
      </w:r>
    </w:p>
    <w:p>
      <w:pPr>
        <w:spacing w:after="220" w:before="360"/>
        <w:jc w:val="left"/>
      </w:pPr>
      <w:r>
        <w:rPr>
          <w:rFonts w:ascii="Calibri" w:cs="Calibri" w:eastAsia="Calibri" w:hAnsi="Calibri"/>
          <w:b/>
          <w:bCs/>
          <w:color w:val="0F4C81"/>
          <w:sz w:val="36"/>
          <w:szCs w:val="36"/>
        </w:rPr>
        <w:t xml:space="preserve">Section 4 — Understanding of the County's Needs</w:t>
      </w:r>
    </w:p>
    <w:p>
      <w:r>
        <w:rPr>
          <w:rFonts w:ascii="Calibri" w:cs="Calibri" w:eastAsia="Calibri" w:hAnsi="Calibri"/>
          <w:sz w:val="22"/>
          <w:szCs w:val="22"/>
        </w:rPr>
        <w:t xml:space="preserve"/>
      </w:r>
    </w:p>
    <w:p>
      <w:pPr>
        <w:spacing w:after="160" w:before="320"/>
      </w:pPr>
      <w:r>
        <w:rPr>
          <w:rFonts w:ascii="Calibri" w:cs="Calibri" w:eastAsia="Calibri" w:hAnsi="Calibri"/>
          <w:b/>
          <w:bCs/>
          <w:color w:val="0F4C81"/>
          <w:sz w:val="28"/>
          <w:szCs w:val="28"/>
        </w:rPr>
        <w:t xml:space="preserve">4.1 Population baseline (from Addendum #2)</w:t>
      </w:r>
    </w:p>
    <w:p>
      <w:r>
        <w:rPr>
          <w:rFonts w:ascii="Calibri" w:cs="Calibri" w:eastAsia="Calibri" w:hAnsi="Calibri"/>
          <w:sz w:val="22"/>
          <w:szCs w:val="22"/>
        </w:rPr>
        <w:t xml:space="preserve"/>
      </w:r>
    </w:p>
    <w:p>
      <w:pPr>
        <w:spacing w:after="80" w:before="80"/>
      </w:pPr>
      <w:r>
        <w:rPr>
          <w:rFonts w:ascii="Calibri" w:cs="Calibri" w:eastAsia="Calibri" w:hAnsi="Calibri"/>
          <w:sz w:val="22"/>
          <w:szCs w:val="22"/>
        </w:rPr>
        <w:t xml:space="preserve">The County disclosed the following figures in Addendum #2 (issued May 22, 2026). Vitality has structured the entire proposal around these numbers as authoritative.</w:t>
      </w:r>
    </w:p>
    <w:p>
      <w:r>
        <w:rPr>
          <w:rFonts w:ascii="Calibri" w:cs="Calibri" w:eastAsia="Calibri" w:hAnsi="Calibri"/>
          <w:sz w:val="22"/>
          <w:szCs w:val="22"/>
        </w:rPr>
        <w:t xml:space="preserve"/>
      </w:r>
    </w:p>
    <w:tbl>
      <w:tblPr>
        <w:tblW w:type="pct" w:w="100%"/>
        <w:tblBorders>
          <w:top w:val="single" w:color="BFBFBF" w:sz="4"/>
          <w:left w:val="single" w:color="BFBFBF" w:sz="4"/>
          <w:bottom w:val="single" w:color="BFBFBF" w:sz="4"/>
          <w:right w:val="single" w:color="BFBFBF" w:sz="4"/>
          <w:insideH w:val="single" w:color="D9D9D9" w:sz="2"/>
          <w:insideV w:val="single" w:color="D9D9D9" w:sz="2"/>
        </w:tblBorders>
      </w:tblPr>
      <w:tblGrid>
        <w:gridCol w:w="100"/>
        <w:gridCol w:w="100"/>
      </w:tblGrid>
      <w:tr>
        <w:trPr>
          <w:tblHeader/>
        </w:trPr>
        <w:tc>
          <w:tcPr>
            <w:tcW w:type="pct" w:w="50%"/>
            <w:shd w:fill="0F4C81"/>
            <w:tcMar>
              <w:top w:type="dxa" w:w="80"/>
              <w:left w:type="dxa" w:w="100"/>
              <w:bottom w:type="dxa" w:w="80"/>
              <w:right w:type="dxa" w:w="100"/>
            </w:tcMar>
          </w:tcPr>
          <w:p>
            <w:pPr>
              <w:spacing w:after="40" w:before="40"/>
            </w:pPr>
            <w:r>
              <w:rPr>
                <w:rFonts w:ascii="Calibri" w:cs="Calibri" w:eastAsia="Calibri" w:hAnsi="Calibri"/>
                <w:b/>
                <w:bCs/>
                <w:color w:val="FFFFFF"/>
                <w:sz w:val="20"/>
                <w:szCs w:val="20"/>
              </w:rPr>
              <w:t xml:space="preserve">Metric</w:t>
            </w:r>
          </w:p>
        </w:tc>
        <w:tc>
          <w:tcPr>
            <w:tcW w:type="pct" w:w="50%"/>
            <w:shd w:fill="0F4C81"/>
            <w:tcMar>
              <w:top w:type="dxa" w:w="80"/>
              <w:left w:type="dxa" w:w="100"/>
              <w:bottom w:type="dxa" w:w="80"/>
              <w:right w:type="dxa" w:w="100"/>
            </w:tcMar>
          </w:tcPr>
          <w:p>
            <w:pPr>
              <w:spacing w:after="40" w:before="40"/>
            </w:pPr>
            <w:r>
              <w:rPr>
                <w:rFonts w:ascii="Calibri" w:cs="Calibri" w:eastAsia="Calibri" w:hAnsi="Calibri"/>
                <w:b/>
                <w:bCs/>
                <w:color w:val="FFFFFF"/>
                <w:sz w:val="20"/>
                <w:szCs w:val="20"/>
              </w:rPr>
              <w:t xml:space="preserve">Value</w:t>
            </w:r>
          </w:p>
        </w:tc>
      </w:tr>
      <w:tr>
        <w:tc>
          <w:tcPr>
            <w:tcW w:type="pct" w:w="50%"/>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Total members enrolled on County medical plans (all ages)</w:t>
            </w:r>
          </w:p>
        </w:tc>
        <w:tc>
          <w:tcPr>
            <w:tcW w:type="pct" w:w="50%"/>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5,871</w:t>
            </w:r>
          </w:p>
        </w:tc>
      </w:tr>
      <w:tr>
        <w:tc>
          <w:tcPr>
            <w:tcW w:type="pct" w:w="50%"/>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Eligible adult population (employee + dependents age 18+)</w:t>
            </w:r>
          </w:p>
        </w:tc>
        <w:tc>
          <w:tcPr>
            <w:tcW w:type="pct" w:w="50%"/>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4,213</w:t>
            </w:r>
          </w:p>
        </w:tc>
      </w:tr>
      <w:tr>
        <w:tc>
          <w:tcPr>
            <w:tcW w:type="pct" w:w="50%"/>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Female share of population</w:t>
            </w:r>
          </w:p>
        </w:tc>
        <w:tc>
          <w:tcPr>
            <w:tcW w:type="pct" w:w="50%"/>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53%</w:t>
            </w:r>
          </w:p>
        </w:tc>
      </w:tr>
      <w:tr>
        <w:tc>
          <w:tcPr>
            <w:tcW w:type="pct" w:w="50%"/>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Currently on GLP-1 medication</w:t>
            </w:r>
          </w:p>
        </w:tc>
        <w:tc>
          <w:tcPr>
            <w:tcW w:type="pct" w:w="50%"/>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373 (6.3% of enrolled, 8.9% of adults)</w:t>
            </w:r>
          </w:p>
        </w:tc>
      </w:tr>
      <w:tr>
        <w:tc>
          <w:tcPr>
            <w:tcW w:type="pct" w:w="50%"/>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Used GLP-1 in past 12 months</w:t>
            </w:r>
          </w:p>
        </w:tc>
        <w:tc>
          <w:tcPr>
            <w:tcW w:type="pct" w:w="50%"/>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705 (12.0% of enrolled, 16.7% of adults)</w:t>
            </w:r>
          </w:p>
        </w:tc>
      </w:tr>
      <w:tr>
        <w:tc>
          <w:tcPr>
            <w:tcW w:type="pct" w:w="50%"/>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BMI ≥ 30 count</w:t>
            </w:r>
          </w:p>
        </w:tc>
        <w:tc>
          <w:tcPr>
            <w:tcW w:type="pct" w:w="50%"/>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Unavailable from carrier</w:t>
            </w:r>
          </w:p>
        </w:tc>
      </w:tr>
      <w:tr>
        <w:tc>
          <w:tcPr>
            <w:tcW w:type="pct" w:w="50%"/>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CDC PLACES county obesity prevalence</w:t>
            </w:r>
          </w:p>
        </w:tc>
        <w:tc>
          <w:tcPr>
            <w:tcW w:type="pct" w:w="50%"/>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36.2%</w:t>
            </w:r>
          </w:p>
        </w:tc>
      </w:tr>
      <w:tr>
        <w:tc>
          <w:tcPr>
            <w:tcW w:type="pct" w:w="50%"/>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Modeled at-risk adult population</w:t>
            </w:r>
          </w:p>
        </w:tc>
        <w:tc>
          <w:tcPr>
            <w:tcW w:type="pct" w:w="50%"/>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~1,525 (4,213 × 36.2%)</w:t>
            </w:r>
          </w:p>
        </w:tc>
      </w:tr>
      <w:tr>
        <w:tc>
          <w:tcPr>
            <w:tcW w:type="pct" w:w="50%"/>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TPA</w:t>
            </w:r>
          </w:p>
        </w:tc>
        <w:tc>
          <w:tcPr>
            <w:tcW w:type="pct" w:w="50%"/>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UnitedHealthcare (self-insured Group #902769)</w:t>
            </w:r>
          </w:p>
        </w:tc>
      </w:tr>
      <w:tr>
        <w:tc>
          <w:tcPr>
            <w:tcW w:type="pct" w:w="50%"/>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PBM</w:t>
            </w:r>
          </w:p>
        </w:tc>
        <w:tc>
          <w:tcPr>
            <w:tcW w:type="pct" w:w="50%"/>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OptumRx</w:t>
            </w:r>
          </w:p>
        </w:tc>
      </w:tr>
      <w:tr>
        <w:tc>
          <w:tcPr>
            <w:tcW w:type="pct" w:w="50%"/>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Broker of record</w:t>
            </w:r>
          </w:p>
        </w:tc>
        <w:tc>
          <w:tcPr>
            <w:tcW w:type="pct" w:w="50%"/>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IMA</w:t>
            </w:r>
          </w:p>
        </w:tc>
      </w:tr>
      <w:tr>
        <w:tc>
          <w:tcPr>
            <w:tcW w:type="pct" w:w="50%"/>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Current wellness platform</w:t>
            </w:r>
          </w:p>
        </w:tc>
        <w:tc>
          <w:tcPr>
            <w:tcW w:type="pct" w:w="50%"/>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Rally (via UHC)</w:t>
            </w:r>
          </w:p>
        </w:tc>
      </w:tr>
      <w:tr>
        <w:tc>
          <w:tcPr>
            <w:tcW w:type="pct" w:w="50%"/>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Incumbent weight-management vendor</w:t>
            </w:r>
          </w:p>
        </w:tc>
        <w:tc>
          <w:tcPr>
            <w:tcW w:type="pct" w:w="50%"/>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None</w:t>
            </w:r>
          </w:p>
        </w:tc>
      </w:tr>
      <w:tr>
        <w:tc>
          <w:tcPr>
            <w:tcW w:type="pct" w:w="50%"/>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Required service delivery</w:t>
            </w:r>
          </w:p>
        </w:tc>
        <w:tc>
          <w:tcPr>
            <w:tcW w:type="pct" w:w="50%"/>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Virtual only</w:t>
            </w:r>
          </w:p>
        </w:tc>
      </w:tr>
    </w:tbl>
    <w:p>
      <w:r>
        <w:rPr>
          <w:rFonts w:ascii="Calibri" w:cs="Calibri" w:eastAsia="Calibri" w:hAnsi="Calibri"/>
          <w:sz w:val="22"/>
          <w:szCs w:val="22"/>
        </w:rPr>
        <w:t xml:space="preserve"/>
      </w:r>
    </w:p>
    <w:p>
      <w:r>
        <w:rPr>
          <w:rFonts w:ascii="Calibri" w:cs="Calibri" w:eastAsia="Calibri" w:hAnsi="Calibri"/>
          <w:sz w:val="22"/>
          <w:szCs w:val="22"/>
        </w:rPr>
        <w:t xml:space="preserve"/>
      </w:r>
    </w:p>
    <w:p>
      <w:pPr>
        <w:spacing w:after="160" w:before="320"/>
      </w:pPr>
      <w:r>
        <w:rPr>
          <w:rFonts w:ascii="Calibri" w:cs="Calibri" w:eastAsia="Calibri" w:hAnsi="Calibri"/>
          <w:b/>
          <w:bCs/>
          <w:color w:val="0F4C81"/>
          <w:sz w:val="28"/>
          <w:szCs w:val="28"/>
        </w:rPr>
        <w:t xml:space="preserve">4.2 The GLP-1 utilization picture</w:t>
      </w:r>
    </w:p>
    <w:p>
      <w:r>
        <w:rPr>
          <w:rFonts w:ascii="Calibri" w:cs="Calibri" w:eastAsia="Calibri" w:hAnsi="Calibri"/>
          <w:sz w:val="22"/>
          <w:szCs w:val="22"/>
        </w:rPr>
        <w:t xml:space="preserve"/>
      </w:r>
    </w:p>
    <w:p>
      <w:pPr>
        <w:spacing w:after="80" w:before="80"/>
      </w:pPr>
      <w:r>
        <w:rPr>
          <w:rFonts w:ascii="Calibri" w:cs="Calibri" w:eastAsia="Calibri" w:hAnsi="Calibri"/>
          <w:sz w:val="22"/>
          <w:szCs w:val="22"/>
        </w:rPr>
        <w:t xml:space="preserve">The single most operationally significant disclosure in Addendum #2 is the GLP-1 utilization data. We interpret it as follows:</w:t>
      </w:r>
    </w:p>
    <w:p>
      <w:r>
        <w:rPr>
          <w:rFonts w:ascii="Calibri" w:cs="Calibri" w:eastAsia="Calibri" w:hAnsi="Calibri"/>
          <w:sz w:val="22"/>
          <w:szCs w:val="22"/>
        </w:rPr>
        <w:t xml:space="preserve"/>
      </w:r>
    </w:p>
    <w:p>
      <w:pPr>
        <w:spacing w:after="80" w:before="80"/>
      </w:pPr>
      <w:r>
        <w:rPr>
          <w:rFonts w:ascii="Calibri" w:cs="Calibri" w:eastAsia="Calibri" w:hAnsi="Calibri"/>
          <w:b/>
          <w:bCs/>
          <w:sz w:val="22"/>
          <w:szCs w:val="22"/>
        </w:rPr>
        <w:t xml:space="preserve">(a) Current GLP-1 spend is substantial and unmanaged.</w:t>
      </w:r>
      <w:r>
        <w:rPr>
          <w:rFonts w:ascii="Calibri" w:cs="Calibri" w:eastAsia="Calibri" w:hAnsi="Calibri"/>
          <w:sz w:val="22"/>
          <w:szCs w:val="22"/>
        </w:rPr>
        <w:t xml:space="preserve"> At the conservative RAND 2023 figure of $13,800 per unmanaged GLP-1 patient per year, the 373 current GLP-1 members represent approximately $5.15 million in annual pharmacy cost to the County's medical plan. This spend is occurring with no clinical oversight beyond standard PBM prior authorization.</w:t>
      </w:r>
    </w:p>
    <w:p>
      <w:r>
        <w:rPr>
          <w:rFonts w:ascii="Calibri" w:cs="Calibri" w:eastAsia="Calibri" w:hAnsi="Calibri"/>
          <w:sz w:val="22"/>
          <w:szCs w:val="22"/>
        </w:rPr>
        <w:t xml:space="preserve"/>
      </w:r>
    </w:p>
    <w:p>
      <w:pPr>
        <w:spacing w:after="80" w:before="80"/>
      </w:pPr>
      <w:r>
        <w:rPr>
          <w:rFonts w:ascii="Calibri" w:cs="Calibri" w:eastAsia="Calibri" w:hAnsi="Calibri"/>
          <w:b/>
          <w:bCs/>
          <w:sz w:val="22"/>
          <w:szCs w:val="22"/>
        </w:rPr>
        <w:t xml:space="preserve">(b) The 47% twelve-month attrition rate is the diagnostic signal.</w:t>
      </w:r>
      <w:r>
        <w:rPr>
          <w:rFonts w:ascii="Calibri" w:cs="Calibri" w:eastAsia="Calibri" w:hAnsi="Calibri"/>
          <w:sz w:val="22"/>
          <w:szCs w:val="22"/>
        </w:rPr>
        <w:t xml:space="preserve"> 705 members started a GLP-1 in the past twelve months, but only 373 are on therapy today. The 332-member differential — approximately 47% of starters — represents members who paid in (through pharmacy claims) but did not achieve sustained outcomes. This attrition pattern is consistent with published GLP-1 real-world adherence data showing 40–55% discontinuation within twelve months in unmanaged settings, driven by side effects (nausea, fatigue), lack of titration support, and absence of behavioral coaching.</w:t>
      </w:r>
    </w:p>
    <w:p>
      <w:r>
        <w:rPr>
          <w:rFonts w:ascii="Calibri" w:cs="Calibri" w:eastAsia="Calibri" w:hAnsi="Calibri"/>
          <w:sz w:val="22"/>
          <w:szCs w:val="22"/>
        </w:rPr>
        <w:t xml:space="preserve"/>
      </w:r>
    </w:p>
    <w:p>
      <w:pPr>
        <w:spacing w:after="80" w:before="80"/>
      </w:pPr>
      <w:r>
        <w:rPr>
          <w:rFonts w:ascii="Calibri" w:cs="Calibri" w:eastAsia="Calibri" w:hAnsi="Calibri"/>
          <w:b/>
          <w:bCs/>
          <w:sz w:val="22"/>
          <w:szCs w:val="22"/>
        </w:rPr>
        <w:t xml:space="preserve">(c) The savings opportunity is concrete and addressable.</w:t>
      </w:r>
      <w:r>
        <w:rPr>
          <w:rFonts w:ascii="Calibri" w:cs="Calibri" w:eastAsia="Calibri" w:hAnsi="Calibri"/>
          <w:sz w:val="22"/>
          <w:szCs w:val="22"/>
        </w:rPr>
        <w:t xml:space="preserve"> RAND's 2023 conservative figure for the cost differential between unmanaged and managed GLP-1 therapy is $5,600 per patient per year ($13,800 − $8,200). Applied to the 373 current GLP-1 members, the managed-protocol savings opportunity is approximately </w:t>
      </w:r>
      <w:r>
        <w:rPr>
          <w:rFonts w:ascii="Calibri" w:cs="Calibri" w:eastAsia="Calibri" w:hAnsi="Calibri"/>
          <w:b/>
          <w:bCs/>
          <w:sz w:val="22"/>
          <w:szCs w:val="22"/>
        </w:rPr>
        <w:t xml:space="preserve">$2.09 million per year</w:t>
      </w:r>
      <w:r>
        <w:rPr>
          <w:rFonts w:ascii="Calibri" w:cs="Calibri" w:eastAsia="Calibri" w:hAnsi="Calibri"/>
          <w:sz w:val="22"/>
          <w:szCs w:val="22"/>
        </w:rPr>
        <w:t xml:space="preserve">. Migrating the cohort to a managed protocol does not require a single new prescription or any change to OptumRx's formulary — it requires only that the existing 373 members receive structured clinical oversight, titration support, side-effect management, and behavioral coaching.</w:t>
      </w:r>
    </w:p>
    <w:p>
      <w:r>
        <w:rPr>
          <w:rFonts w:ascii="Calibri" w:cs="Calibri" w:eastAsia="Calibri" w:hAnsi="Calibri"/>
          <w:sz w:val="22"/>
          <w:szCs w:val="22"/>
        </w:rPr>
        <w:t xml:space="preserve"/>
      </w:r>
    </w:p>
    <w:p>
      <w:pPr>
        <w:spacing w:after="160" w:before="320"/>
      </w:pPr>
      <w:r>
        <w:rPr>
          <w:rFonts w:ascii="Calibri" w:cs="Calibri" w:eastAsia="Calibri" w:hAnsi="Calibri"/>
          <w:b/>
          <w:bCs/>
          <w:color w:val="0F4C81"/>
          <w:sz w:val="28"/>
          <w:szCs w:val="28"/>
        </w:rPr>
        <w:t xml:space="preserve">4.3 Current gap analysis</w:t>
      </w:r>
    </w:p>
    <w:p>
      <w:r>
        <w:rPr>
          <w:rFonts w:ascii="Calibri" w:cs="Calibri" w:eastAsia="Calibri" w:hAnsi="Calibri"/>
          <w:sz w:val="22"/>
          <w:szCs w:val="22"/>
        </w:rPr>
        <w:t xml:space="preserve"/>
      </w:r>
    </w:p>
    <w:p>
      <w:pPr>
        <w:spacing w:after="80" w:before="80"/>
      </w:pPr>
      <w:r>
        <w:rPr>
          <w:rFonts w:ascii="Calibri" w:cs="Calibri" w:eastAsia="Calibri" w:hAnsi="Calibri"/>
          <w:sz w:val="22"/>
          <w:szCs w:val="22"/>
        </w:rPr>
        <w:t xml:space="preserve">The Addendum disclosed: *"Current cost containment is tied to prior authorization program with PBM."* The County has identified this as insufficient and has stated its preference for *"a broader support-focused program centered around outcomes, health coaching participation, and sustainable lifestyle changes."*</w:t>
      </w:r>
    </w:p>
    <w:p>
      <w:r>
        <w:rPr>
          <w:rFonts w:ascii="Calibri" w:cs="Calibri" w:eastAsia="Calibri" w:hAnsi="Calibri"/>
          <w:sz w:val="22"/>
          <w:szCs w:val="22"/>
        </w:rPr>
        <w:t xml:space="preserve"/>
      </w:r>
    </w:p>
    <w:p>
      <w:pPr>
        <w:spacing w:after="80" w:before="80"/>
      </w:pPr>
      <w:r>
        <w:rPr>
          <w:rFonts w:ascii="Calibri" w:cs="Calibri" w:eastAsia="Calibri" w:hAnsi="Calibri"/>
          <w:sz w:val="22"/>
          <w:szCs w:val="22"/>
        </w:rPr>
        <w:t xml:space="preserve">We share the County's diagnosis. Prior authorization gates approval at the moment of prescription but does not address:</w:t>
      </w:r>
    </w:p>
    <w:p>
      <w:pPr>
        <w:pStyle w:val="ListParagraph"/>
        <w:numPr>
          <w:ilvl w:val="0"/>
          <w:numId w:val="1"/>
        </w:numPr>
        <w:spacing w:after="60" w:before="60"/>
      </w:pPr>
      <w:r>
        <w:rPr>
          <w:rFonts w:ascii="Calibri" w:cs="Calibri" w:eastAsia="Calibri" w:hAnsi="Calibri"/>
          <w:sz w:val="22"/>
          <w:szCs w:val="22"/>
        </w:rPr>
        <w:t xml:space="preserve">Side-effect management during titration (the primary driver of 47% attrition)</w:t>
      </w:r>
    </w:p>
    <w:p>
      <w:pPr>
        <w:pStyle w:val="ListParagraph"/>
        <w:numPr>
          <w:ilvl w:val="0"/>
          <w:numId w:val="1"/>
        </w:numPr>
        <w:spacing w:after="60" w:before="60"/>
      </w:pPr>
      <w:r>
        <w:rPr>
          <w:rFonts w:ascii="Calibri" w:cs="Calibri" w:eastAsia="Calibri" w:hAnsi="Calibri"/>
          <w:sz w:val="22"/>
          <w:szCs w:val="22"/>
        </w:rPr>
        <w:t xml:space="preserve">Behavioral coaching to support sustained dietary and activity changes</w:t>
      </w:r>
    </w:p>
    <w:p>
      <w:pPr>
        <w:pStyle w:val="ListParagraph"/>
        <w:numPr>
          <w:ilvl w:val="0"/>
          <w:numId w:val="1"/>
        </w:numPr>
        <w:spacing w:after="60" w:before="60"/>
      </w:pPr>
      <w:r>
        <w:rPr>
          <w:rFonts w:ascii="Calibri" w:cs="Calibri" w:eastAsia="Calibri" w:hAnsi="Calibri"/>
          <w:sz w:val="22"/>
          <w:szCs w:val="22"/>
        </w:rPr>
        <w:t xml:space="preserve">Lifestyle accountability and engagement over 12–24 months</w:t>
      </w:r>
    </w:p>
    <w:p>
      <w:pPr>
        <w:pStyle w:val="ListParagraph"/>
        <w:numPr>
          <w:ilvl w:val="0"/>
          <w:numId w:val="1"/>
        </w:numPr>
        <w:spacing w:after="60" w:before="60"/>
      </w:pPr>
      <w:r>
        <w:rPr>
          <w:rFonts w:ascii="Calibri" w:cs="Calibri" w:eastAsia="Calibri" w:hAnsi="Calibri"/>
          <w:sz w:val="22"/>
          <w:szCs w:val="22"/>
        </w:rPr>
        <w:t xml:space="preserve">Coordination across members' broader care team (PCP, OB-GYN, mental health, etc.)</w:t>
      </w:r>
    </w:p>
    <w:p>
      <w:pPr>
        <w:pStyle w:val="ListParagraph"/>
        <w:numPr>
          <w:ilvl w:val="0"/>
          <w:numId w:val="1"/>
        </w:numPr>
        <w:spacing w:after="60" w:before="60"/>
      </w:pPr>
      <w:r>
        <w:rPr>
          <w:rFonts w:ascii="Calibri" w:cs="Calibri" w:eastAsia="Calibri" w:hAnsi="Calibri"/>
          <w:sz w:val="22"/>
          <w:szCs w:val="22"/>
        </w:rPr>
        <w:t xml:space="preserve">Outcome measurement and reporting to the County</w:t>
      </w:r>
    </w:p>
    <w:p>
      <w:r>
        <w:rPr>
          <w:rFonts w:ascii="Calibri" w:cs="Calibri" w:eastAsia="Calibri" w:hAnsi="Calibri"/>
          <w:sz w:val="22"/>
          <w:szCs w:val="22"/>
        </w:rPr>
        <w:t xml:space="preserve"/>
      </w:r>
    </w:p>
    <w:p>
      <w:pPr>
        <w:spacing w:after="80" w:before="80"/>
      </w:pPr>
      <w:r>
        <w:rPr>
          <w:rFonts w:ascii="Calibri" w:cs="Calibri" w:eastAsia="Calibri" w:hAnsi="Calibri"/>
          <w:sz w:val="22"/>
          <w:szCs w:val="22"/>
        </w:rPr>
        <w:t xml:space="preserve">Vitality is designed to fill exactly this gap, while preserving OptumRx's PBM role and UnitedHealthcare's TPA role.</w:t>
      </w:r>
    </w:p>
    <w:p>
      <w:r>
        <w:rPr>
          <w:rFonts w:ascii="Calibri" w:cs="Calibri" w:eastAsia="Calibri" w:hAnsi="Calibri"/>
          <w:sz w:val="22"/>
          <w:szCs w:val="22"/>
        </w:rPr>
        <w:t xml:space="preserve"/>
      </w:r>
    </w:p>
    <w:p>
      <w:pPr>
        <w:spacing w:after="160" w:before="320"/>
      </w:pPr>
      <w:r>
        <w:rPr>
          <w:rFonts w:ascii="Calibri" w:cs="Calibri" w:eastAsia="Calibri" w:hAnsi="Calibri"/>
          <w:b/>
          <w:bCs/>
          <w:color w:val="0F4C81"/>
          <w:sz w:val="28"/>
          <w:szCs w:val="28"/>
        </w:rPr>
        <w:t xml:space="preserve">4.4 What the County asked for, in the County's own language</w:t>
      </w:r>
    </w:p>
    <w:p>
      <w:r>
        <w:rPr>
          <w:rFonts w:ascii="Calibri" w:cs="Calibri" w:eastAsia="Calibri" w:hAnsi="Calibri"/>
          <w:sz w:val="22"/>
          <w:szCs w:val="22"/>
        </w:rPr>
        <w:t xml:space="preserve"/>
      </w:r>
    </w:p>
    <w:tbl>
      <w:tblPr>
        <w:tblW w:type="pct" w:w="100%"/>
        <w:tblBorders>
          <w:top w:val="single" w:color="BFBFBF" w:sz="4"/>
          <w:left w:val="single" w:color="BFBFBF" w:sz="4"/>
          <w:bottom w:val="single" w:color="BFBFBF" w:sz="4"/>
          <w:right w:val="single" w:color="BFBFBF" w:sz="4"/>
          <w:insideH w:val="single" w:color="D9D9D9" w:sz="2"/>
          <w:insideV w:val="single" w:color="D9D9D9" w:sz="2"/>
        </w:tblBorders>
      </w:tblPr>
      <w:tblGrid>
        <w:gridCol w:w="100"/>
        <w:gridCol w:w="100"/>
      </w:tblGrid>
      <w:tr>
        <w:trPr>
          <w:tblHeader/>
        </w:trPr>
        <w:tc>
          <w:tcPr>
            <w:tcW w:type="pct" w:w="50%"/>
            <w:shd w:fill="0F4C81"/>
            <w:tcMar>
              <w:top w:type="dxa" w:w="80"/>
              <w:left w:type="dxa" w:w="100"/>
              <w:bottom w:type="dxa" w:w="80"/>
              <w:right w:type="dxa" w:w="100"/>
            </w:tcMar>
          </w:tcPr>
          <w:p>
            <w:pPr>
              <w:spacing w:after="40" w:before="40"/>
            </w:pPr>
            <w:r>
              <w:rPr>
                <w:rFonts w:ascii="Calibri" w:cs="Calibri" w:eastAsia="Calibri" w:hAnsi="Calibri"/>
                <w:b/>
                <w:bCs/>
                <w:color w:val="FFFFFF"/>
                <w:sz w:val="20"/>
                <w:szCs w:val="20"/>
              </w:rPr>
              <w:t xml:space="preserve">County requirement (Addendum #2)</w:t>
            </w:r>
          </w:p>
        </w:tc>
        <w:tc>
          <w:tcPr>
            <w:tcW w:type="pct" w:w="50%"/>
            <w:shd w:fill="0F4C81"/>
            <w:tcMar>
              <w:top w:type="dxa" w:w="80"/>
              <w:left w:type="dxa" w:w="100"/>
              <w:bottom w:type="dxa" w:w="80"/>
              <w:right w:type="dxa" w:w="100"/>
            </w:tcMar>
          </w:tcPr>
          <w:p>
            <w:pPr>
              <w:spacing w:after="40" w:before="40"/>
            </w:pPr>
            <w:r>
              <w:rPr>
                <w:rFonts w:ascii="Calibri" w:cs="Calibri" w:eastAsia="Calibri" w:hAnsi="Calibri"/>
                <w:b/>
                <w:bCs/>
                <w:color w:val="FFFFFF"/>
                <w:sz w:val="20"/>
                <w:szCs w:val="20"/>
              </w:rPr>
              <w:t xml:space="preserve">Vitality response section</w:t>
            </w:r>
          </w:p>
        </w:tc>
      </w:tr>
      <w:tr>
        <w:tc>
          <w:tcPr>
            <w:tcW w:type="pct" w:w="50%"/>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"Recommend and design a comprehensive solution"</w:t>
            </w:r>
          </w:p>
        </w:tc>
        <w:tc>
          <w:tcPr>
            <w:tcW w:type="pct" w:w="50%"/>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Section 5 (Program Design)</w:t>
            </w:r>
          </w:p>
        </w:tc>
      </w:tr>
      <w:tr>
        <w:tc>
          <w:tcPr>
            <w:tcW w:type="pct" w:w="50%"/>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"A broader support-focused program centered around outcomes"</w:t>
            </w:r>
          </w:p>
        </w:tc>
        <w:tc>
          <w:tcPr>
            <w:tcW w:type="pct" w:w="50%"/>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Section 5.4 (Behavioral Engagement) + 5.6 (GLP-1 Managed Protocol)</w:t>
            </w:r>
          </w:p>
        </w:tc>
      </w:tr>
      <w:tr>
        <w:tc>
          <w:tcPr>
            <w:tcW w:type="pct" w:w="50%"/>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"Integration is preferred, if available. TPA = UHC, PBM = OptumRx"</w:t>
            </w:r>
          </w:p>
        </w:tc>
        <w:tc>
          <w:tcPr>
            <w:tcW w:type="pct" w:w="50%"/>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Section 6 (Technology Platform)</w:t>
            </w:r>
          </w:p>
        </w:tc>
      </w:tr>
      <w:tr>
        <w:tc>
          <w:tcPr>
            <w:tcW w:type="pct" w:w="50%"/>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"Continued member engagement, proper use of GLP-1s, and cost savings"</w:t>
            </w:r>
          </w:p>
        </w:tc>
        <w:tc>
          <w:tcPr>
            <w:tcW w:type="pct" w:w="50%"/>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Section 9 (Reporting and KPIs) + Section 8 (ROI)</w:t>
            </w:r>
          </w:p>
        </w:tc>
      </w:tr>
      <w:tr>
        <w:tc>
          <w:tcPr>
            <w:tcW w:type="pct" w:w="50%"/>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"Virtual support only"</w:t>
            </w:r>
          </w:p>
        </w:tc>
        <w:tc>
          <w:tcPr>
            <w:tcW w:type="pct" w:w="50%"/>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Section 5 (Program Design) and Section 6.1 (PWA Architecture)</w:t>
            </w:r>
          </w:p>
        </w:tc>
      </w:tr>
      <w:tr>
        <w:tc>
          <w:tcPr>
            <w:tcW w:type="pct" w:w="50%"/>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"18 and over"</w:t>
            </w:r>
          </w:p>
        </w:tc>
        <w:tc>
          <w:tcPr>
            <w:tcW w:type="pct" w:w="50%"/>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Section 5 (adult-only clinical pathway)</w:t>
            </w:r>
          </w:p>
        </w:tc>
      </w:tr>
      <w:tr>
        <w:tc>
          <w:tcPr>
            <w:tcW w:type="pct" w:w="50%"/>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"Either model is acceptable" (in-house prescriber OR NBHWC coach with member's prescriber)</w:t>
            </w:r>
          </w:p>
        </w:tc>
        <w:tc>
          <w:tcPr>
            <w:tcW w:type="pct" w:w="50%"/>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Section 5.6 (dual-pathway design)</w:t>
            </w:r>
          </w:p>
        </w:tc>
      </w:tr>
      <w:tr>
        <w:tc>
          <w:tcPr>
            <w:tcW w:type="pct" w:w="50%"/>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"Network access = integration with existing medical plan ecosystem"</w:t>
            </w:r>
          </w:p>
        </w:tc>
        <w:tc>
          <w:tcPr>
            <w:tcW w:type="pct" w:w="50%"/>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Section 6 (Technology Platform)</w:t>
            </w:r>
          </w:p>
        </w:tc>
      </w:tr>
    </w:tbl>
    <w:p>
      <w:r>
        <w:rPr>
          <w:rFonts w:ascii="Calibri" w:cs="Calibri" w:eastAsia="Calibri" w:hAnsi="Calibri"/>
          <w:sz w:val="22"/>
          <w:szCs w:val="22"/>
        </w:rPr>
        <w:t xml:space="preserve"/>
      </w:r>
    </w:p>
    <w:p>
      <w:r>
        <w:rPr>
          <w:rFonts w:ascii="Calibri" w:cs="Calibri" w:eastAsia="Calibri" w:hAnsi="Calibri"/>
          <w:sz w:val="22"/>
          <w:szCs w:val="22"/>
        </w:rPr>
        <w:t xml:space="preserve"/>
      </w:r>
    </w:p>
    <w:p>
      <w:pPr>
        <w:pBdr>
          <w:bottom w:val="single" w:color="888888" w:sz="6" w:space="1"/>
        </w:pBdr>
        <w:spacing w:after="120" w:before="120"/>
      </w:pPr>
    </w:p>
    <w:p>
      <w:r>
        <w:rPr>
          <w:rFonts w:ascii="Calibri" w:cs="Calibri" w:eastAsia="Calibri" w:hAnsi="Calibri"/>
          <w:sz w:val="22"/>
          <w:szCs w:val="22"/>
        </w:rPr>
        <w:t xml:space="preserve"/>
      </w:r>
    </w:p>
    <w:p>
      <w:pPr>
        <w:spacing w:after="220" w:before="360"/>
        <w:jc w:val="left"/>
      </w:pPr>
      <w:r>
        <w:rPr>
          <w:rFonts w:ascii="Calibri" w:cs="Calibri" w:eastAsia="Calibri" w:hAnsi="Calibri"/>
          <w:b/>
          <w:bCs/>
          <w:color w:val="0F4C81"/>
          <w:sz w:val="36"/>
          <w:szCs w:val="36"/>
        </w:rPr>
        <w:t xml:space="preserve">Section 5 — Program Design: Vitality Comprehensive Weight Management</w:t>
      </w:r>
    </w:p>
    <w:p>
      <w:r>
        <w:rPr>
          <w:rFonts w:ascii="Calibri" w:cs="Calibri" w:eastAsia="Calibri" w:hAnsi="Calibri"/>
          <w:sz w:val="22"/>
          <w:szCs w:val="22"/>
        </w:rPr>
        <w:t xml:space="preserve"/>
      </w:r>
    </w:p>
    <w:p>
      <w:pPr>
        <w:spacing w:after="160" w:before="320"/>
      </w:pPr>
      <w:r>
        <w:rPr>
          <w:rFonts w:ascii="Calibri" w:cs="Calibri" w:eastAsia="Calibri" w:hAnsi="Calibri"/>
          <w:b/>
          <w:bCs/>
          <w:color w:val="0F4C81"/>
          <w:sz w:val="28"/>
          <w:szCs w:val="28"/>
        </w:rPr>
        <w:t xml:space="preserve">5.1 Program philosophy</w:t>
      </w:r>
    </w:p>
    <w:p>
      <w:r>
        <w:rPr>
          <w:rFonts w:ascii="Calibri" w:cs="Calibri" w:eastAsia="Calibri" w:hAnsi="Calibri"/>
          <w:sz w:val="22"/>
          <w:szCs w:val="22"/>
        </w:rPr>
        <w:t xml:space="preserve"/>
      </w:r>
    </w:p>
    <w:p>
      <w:pPr>
        <w:spacing w:after="80" w:before="80"/>
      </w:pPr>
      <w:r>
        <w:rPr>
          <w:rFonts w:ascii="Calibri" w:cs="Calibri" w:eastAsia="Calibri" w:hAnsi="Calibri"/>
          <w:sz w:val="22"/>
          <w:szCs w:val="22"/>
        </w:rPr>
        <w:t xml:space="preserve">Vitality is built on five principles:</w:t>
      </w:r>
    </w:p>
    <w:p>
      <w:r>
        <w:rPr>
          <w:rFonts w:ascii="Calibri" w:cs="Calibri" w:eastAsia="Calibri" w:hAnsi="Calibri"/>
          <w:sz w:val="22"/>
          <w:szCs w:val="22"/>
        </w:rPr>
        <w:t xml:space="preserve"/>
      </w:r>
    </w:p>
    <w:p>
      <w:pPr>
        <w:pStyle w:val="ListParagraph"/>
        <w:numPr>
          <w:ilvl w:val="0"/>
          <w:numId w:val="2"/>
        </w:numPr>
        <w:spacing w:after="60" w:before="60"/>
      </w:pPr>
      <w:r>
        <w:rPr>
          <w:rFonts w:ascii="Calibri" w:cs="Calibri" w:eastAsia="Calibri" w:hAnsi="Calibri"/>
          <w:b/>
          <w:bCs/>
          <w:sz w:val="22"/>
          <w:szCs w:val="22"/>
        </w:rPr>
        <w:t xml:space="preserve">Member-centric, not vendor-centric.</w:t>
      </w:r>
      <w:r>
        <w:rPr>
          <w:rFonts w:ascii="Calibri" w:cs="Calibri" w:eastAsia="Calibri" w:hAnsi="Calibri"/>
          <w:sz w:val="22"/>
          <w:szCs w:val="22"/>
        </w:rPr>
        <w:t xml:space="preserve"> Every design decision starts from the member's job-to-be-done.</w:t>
      </w:r>
    </w:p>
    <w:p>
      <w:pPr>
        <w:pStyle w:val="ListParagraph"/>
        <w:numPr>
          <w:ilvl w:val="0"/>
          <w:numId w:val="2"/>
        </w:numPr>
        <w:spacing w:after="60" w:before="60"/>
      </w:pPr>
      <w:r>
        <w:rPr>
          <w:rFonts w:ascii="Calibri" w:cs="Calibri" w:eastAsia="Calibri" w:hAnsi="Calibri"/>
          <w:b/>
          <w:bCs/>
          <w:sz w:val="22"/>
          <w:szCs w:val="22"/>
        </w:rPr>
        <w:t xml:space="preserve">Evidence-based.</w:t>
      </w:r>
      <w:r>
        <w:rPr>
          <w:rFonts w:ascii="Calibri" w:cs="Calibri" w:eastAsia="Calibri" w:hAnsi="Calibri"/>
          <w:sz w:val="22"/>
          <w:szCs w:val="22"/>
        </w:rPr>
        <w:t xml:space="preserve"> Every clinical recommendation cites the underlying study (DPP, STEP, LOOK AHEAD, RAND, NIH).</w:t>
      </w:r>
    </w:p>
    <w:p>
      <w:pPr>
        <w:pStyle w:val="ListParagraph"/>
        <w:numPr>
          <w:ilvl w:val="0"/>
          <w:numId w:val="2"/>
        </w:numPr>
        <w:spacing w:after="60" w:before="60"/>
      </w:pPr>
      <w:r>
        <w:rPr>
          <w:rFonts w:ascii="Calibri" w:cs="Calibri" w:eastAsia="Calibri" w:hAnsi="Calibri"/>
          <w:b/>
          <w:bCs/>
          <w:sz w:val="22"/>
          <w:szCs w:val="22"/>
        </w:rPr>
        <w:t xml:space="preserve">Integration-first.</w:t>
      </w:r>
      <w:r>
        <w:rPr>
          <w:rFonts w:ascii="Calibri" w:cs="Calibri" w:eastAsia="Calibri" w:hAnsi="Calibri"/>
          <w:sz w:val="22"/>
          <w:szCs w:val="22"/>
        </w:rPr>
        <w:t xml:space="preserve"> We coexist with the County's existing UHC, OptumRx, and Rally relationships. We do not replace them.</w:t>
      </w:r>
    </w:p>
    <w:p>
      <w:pPr>
        <w:pStyle w:val="ListParagraph"/>
        <w:numPr>
          <w:ilvl w:val="0"/>
          <w:numId w:val="2"/>
        </w:numPr>
        <w:spacing w:after="60" w:before="60"/>
      </w:pPr>
      <w:r>
        <w:rPr>
          <w:rFonts w:ascii="Calibri" w:cs="Calibri" w:eastAsia="Calibri" w:hAnsi="Calibri"/>
          <w:b/>
          <w:bCs/>
          <w:sz w:val="22"/>
          <w:szCs w:val="22"/>
        </w:rPr>
        <w:t xml:space="preserve">Support-focused.</w:t>
      </w:r>
      <w:r>
        <w:rPr>
          <w:rFonts w:ascii="Calibri" w:cs="Calibri" w:eastAsia="Calibri" w:hAnsi="Calibri"/>
          <w:sz w:val="22"/>
          <w:szCs w:val="22"/>
        </w:rPr>
        <w:t xml:space="preserve"> We meet the County's stated preference: coaching and clinical wraparound, not compliance enforcement.</w:t>
      </w:r>
    </w:p>
    <w:p>
      <w:pPr>
        <w:pStyle w:val="ListParagraph"/>
        <w:numPr>
          <w:ilvl w:val="0"/>
          <w:numId w:val="2"/>
        </w:numPr>
        <w:spacing w:after="60" w:before="60"/>
      </w:pPr>
      <w:r>
        <w:rPr>
          <w:rFonts w:ascii="Calibri" w:cs="Calibri" w:eastAsia="Calibri" w:hAnsi="Calibri"/>
          <w:b/>
          <w:bCs/>
          <w:sz w:val="22"/>
          <w:szCs w:val="22"/>
        </w:rPr>
        <w:t xml:space="preserve">Outcomes over activity.</w:t>
      </w:r>
      <w:r>
        <w:rPr>
          <w:rFonts w:ascii="Calibri" w:cs="Calibri" w:eastAsia="Calibri" w:hAnsi="Calibri"/>
          <w:sz w:val="22"/>
          <w:szCs w:val="22"/>
        </w:rPr>
        <w:t xml:space="preserve"> Every dashboard leads with the three KPIs the County named.</w:t>
      </w:r>
    </w:p>
    <w:p>
      <w:r>
        <w:rPr>
          <w:rFonts w:ascii="Calibri" w:cs="Calibri" w:eastAsia="Calibri" w:hAnsi="Calibri"/>
          <w:sz w:val="22"/>
          <w:szCs w:val="22"/>
        </w:rPr>
        <w:t xml:space="preserve"/>
      </w:r>
    </w:p>
    <w:p>
      <w:pPr>
        <w:spacing w:after="160" w:before="320"/>
      </w:pPr>
      <w:r>
        <w:rPr>
          <w:rFonts w:ascii="Calibri" w:cs="Calibri" w:eastAsia="Calibri" w:hAnsi="Calibri"/>
          <w:b/>
          <w:bCs/>
          <w:color w:val="0F4C81"/>
          <w:sz w:val="28"/>
          <w:szCs w:val="28"/>
        </w:rPr>
        <w:t xml:space="preserve">5.2 Member journey — the 5-phase clinical protocol</w:t>
      </w:r>
    </w:p>
    <w:p>
      <w:r>
        <w:rPr>
          <w:rFonts w:ascii="Calibri" w:cs="Calibri" w:eastAsia="Calibri" w:hAnsi="Calibri"/>
          <w:sz w:val="22"/>
          <w:szCs w:val="22"/>
        </w:rPr>
        <w:t xml:space="preserve"/>
      </w:r>
    </w:p>
    <w:p>
      <w:pPr>
        <w:spacing w:after="80" w:before="80"/>
      </w:pPr>
      <w:r>
        <w:rPr>
          <w:rFonts w:ascii="Calibri" w:cs="Calibri" w:eastAsia="Calibri" w:hAnsi="Calibri"/>
          <w:sz w:val="22"/>
          <w:szCs w:val="22"/>
        </w:rPr>
        <w:t xml:space="preserve">Every Vitality member moves through five phases. Each phase has defined entry and exit criteria, a clinical owner, and a measurable outcome.</w:t>
      </w:r>
    </w:p>
    <w:p>
      <w:r>
        <w:rPr>
          <w:rFonts w:ascii="Calibri" w:cs="Calibri" w:eastAsia="Calibri" w:hAnsi="Calibri"/>
          <w:sz w:val="22"/>
          <w:szCs w:val="22"/>
        </w:rPr>
        <w:t xml:space="preserve"/>
      </w:r>
    </w:p>
    <w:tbl>
      <w:tblPr>
        <w:tblW w:type="pct" w:w="100%"/>
        <w:tblBorders>
          <w:top w:val="single" w:color="BFBFBF" w:sz="4"/>
          <w:left w:val="single" w:color="BFBFBF" w:sz="4"/>
          <w:bottom w:val="single" w:color="BFBFBF" w:sz="4"/>
          <w:right w:val="single" w:color="BFBFBF" w:sz="4"/>
          <w:insideH w:val="single" w:color="D9D9D9" w:sz="2"/>
          <w:insideV w:val="single" w:color="D9D9D9" w:sz="2"/>
        </w:tblBorders>
      </w:tblPr>
      <w:tblGrid>
        <w:gridCol w:w="100"/>
        <w:gridCol w:w="100"/>
        <w:gridCol w:w="100"/>
        <w:gridCol w:w="100"/>
      </w:tblGrid>
      <w:tr>
        <w:trPr>
          <w:tblHeader/>
        </w:trPr>
        <w:tc>
          <w:tcPr>
            <w:tcW w:type="pct" w:w="25%"/>
            <w:shd w:fill="0F4C81"/>
            <w:tcMar>
              <w:top w:type="dxa" w:w="80"/>
              <w:left w:type="dxa" w:w="100"/>
              <w:bottom w:type="dxa" w:w="80"/>
              <w:right w:type="dxa" w:w="100"/>
            </w:tcMar>
          </w:tcPr>
          <w:p>
            <w:pPr>
              <w:spacing w:after="40" w:before="40"/>
            </w:pPr>
            <w:r>
              <w:rPr>
                <w:rFonts w:ascii="Calibri" w:cs="Calibri" w:eastAsia="Calibri" w:hAnsi="Calibri"/>
                <w:b/>
                <w:bCs/>
                <w:color w:val="FFFFFF"/>
                <w:sz w:val="20"/>
                <w:szCs w:val="20"/>
              </w:rPr>
              <w:t xml:space="preserve">Phase</w:t>
            </w:r>
          </w:p>
        </w:tc>
        <w:tc>
          <w:tcPr>
            <w:tcW w:type="pct" w:w="25%"/>
            <w:shd w:fill="0F4C81"/>
            <w:tcMar>
              <w:top w:type="dxa" w:w="80"/>
              <w:left w:type="dxa" w:w="100"/>
              <w:bottom w:type="dxa" w:w="80"/>
              <w:right w:type="dxa" w:w="100"/>
            </w:tcMar>
          </w:tcPr>
          <w:p>
            <w:pPr>
              <w:spacing w:after="40" w:before="40"/>
            </w:pPr>
            <w:r>
              <w:rPr>
                <w:rFonts w:ascii="Calibri" w:cs="Calibri" w:eastAsia="Calibri" w:hAnsi="Calibri"/>
                <w:b/>
                <w:bCs/>
                <w:color w:val="FFFFFF"/>
                <w:sz w:val="20"/>
                <w:szCs w:val="20"/>
              </w:rPr>
              <w:t xml:space="preserve">Duration</w:t>
            </w:r>
          </w:p>
        </w:tc>
        <w:tc>
          <w:tcPr>
            <w:tcW w:type="pct" w:w="25%"/>
            <w:shd w:fill="0F4C81"/>
            <w:tcMar>
              <w:top w:type="dxa" w:w="80"/>
              <w:left w:type="dxa" w:w="100"/>
              <w:bottom w:type="dxa" w:w="80"/>
              <w:right w:type="dxa" w:w="100"/>
            </w:tcMar>
          </w:tcPr>
          <w:p>
            <w:pPr>
              <w:spacing w:after="40" w:before="40"/>
            </w:pPr>
            <w:r>
              <w:rPr>
                <w:rFonts w:ascii="Calibri" w:cs="Calibri" w:eastAsia="Calibri" w:hAnsi="Calibri"/>
                <w:b/>
                <w:bCs/>
                <w:color w:val="FFFFFF"/>
                <w:sz w:val="20"/>
                <w:szCs w:val="20"/>
              </w:rPr>
              <w:t xml:space="preserve">Owner</w:t>
            </w:r>
          </w:p>
        </w:tc>
        <w:tc>
          <w:tcPr>
            <w:tcW w:type="pct" w:w="25%"/>
            <w:shd w:fill="0F4C81"/>
            <w:tcMar>
              <w:top w:type="dxa" w:w="80"/>
              <w:left w:type="dxa" w:w="100"/>
              <w:bottom w:type="dxa" w:w="80"/>
              <w:right w:type="dxa" w:w="100"/>
            </w:tcMar>
          </w:tcPr>
          <w:p>
            <w:pPr>
              <w:spacing w:after="40" w:before="40"/>
            </w:pPr>
            <w:r>
              <w:rPr>
                <w:rFonts w:ascii="Calibri" w:cs="Calibri" w:eastAsia="Calibri" w:hAnsi="Calibri"/>
                <w:b/>
                <w:bCs/>
                <w:color w:val="FFFFFF"/>
                <w:sz w:val="20"/>
                <w:szCs w:val="20"/>
              </w:rPr>
              <w:t xml:space="preserve">Outcome</w:t>
            </w:r>
          </w:p>
        </w:tc>
      </w:tr>
      <w:tr>
        <w:tc>
          <w:tcPr>
            <w:tcW w:type="pct" w:w="25%"/>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1. Onboarding</w:t>
            </w:r>
          </w:p>
        </w:tc>
        <w:tc>
          <w:tcPr>
            <w:tcW w:type="pct" w:w="25%"/>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1–2 weeks</w:t>
            </w:r>
          </w:p>
        </w:tc>
        <w:tc>
          <w:tcPr>
            <w:tcW w:type="pct" w:w="25%"/>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Vitality coaching</w:t>
            </w:r>
          </w:p>
        </w:tc>
        <w:tc>
          <w:tcPr>
            <w:tcW w:type="pct" w:w="25%"/>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Identity verified, employer eligibility confirmed, consent collected, baseline survey complete</w:t>
            </w:r>
          </w:p>
        </w:tc>
      </w:tr>
      <w:tr>
        <w:tc>
          <w:tcPr>
            <w:tcW w:type="pct" w:w="25%"/>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2. Clinical baseline</w:t>
            </w:r>
          </w:p>
        </w:tc>
        <w:tc>
          <w:tcPr>
            <w:tcW w:type="pct" w:w="25%"/>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2–4 weeks</w:t>
            </w:r>
          </w:p>
        </w:tc>
        <w:tc>
          <w:tcPr>
            <w:tcW w:type="pct" w:w="25%"/>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Dr. Love (Clinical)</w:t>
            </w:r>
          </w:p>
        </w:tc>
        <w:tc>
          <w:tcPr>
            <w:tcW w:type="pct" w:w="25%"/>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Medical baseline, BMI, A1C, blood pressure, comorbidity inventory, pathway assignment</w:t>
            </w:r>
          </w:p>
        </w:tc>
      </w:tr>
      <w:tr>
        <w:tc>
          <w:tcPr>
            <w:tcW w:type="pct" w:w="25%"/>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3. Intensive intervention</w:t>
            </w:r>
          </w:p>
        </w:tc>
        <w:tc>
          <w:tcPr>
            <w:tcW w:type="pct" w:w="25%"/>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12–26 weeks</w:t>
            </w:r>
          </w:p>
        </w:tc>
        <w:tc>
          <w:tcPr>
            <w:tcW w:type="pct" w:w="25%"/>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Dr. Love + Dr. Vann</w:t>
            </w:r>
          </w:p>
        </w:tc>
        <w:tc>
          <w:tcPr>
            <w:tcW w:type="pct" w:w="25%"/>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Pathway-specific intervention (lifestyle, GLP-1, surgical-coordinated); weekly coaching cadence; biweekly clinical check</w:t>
            </w:r>
          </w:p>
        </w:tc>
      </w:tr>
      <w:tr>
        <w:tc>
          <w:tcPr>
            <w:tcW w:type="pct" w:w="25%"/>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4. Maintenance</w:t>
            </w:r>
          </w:p>
        </w:tc>
        <w:tc>
          <w:tcPr>
            <w:tcW w:type="pct" w:w="25%"/>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26–52 weeks</w:t>
            </w:r>
          </w:p>
        </w:tc>
        <w:tc>
          <w:tcPr>
            <w:tcW w:type="pct" w:w="25%"/>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Dr. Vann (Behavioral)</w:t>
            </w:r>
          </w:p>
        </w:tc>
        <w:tc>
          <w:tcPr>
            <w:tcW w:type="pct" w:w="25%"/>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Reduced cadence (biweekly to monthly); habit consolidation; outcome stabilization</w:t>
            </w:r>
          </w:p>
        </w:tc>
      </w:tr>
      <w:tr>
        <w:tc>
          <w:tcPr>
            <w:tcW w:type="pct" w:w="25%"/>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5. Graduation</w:t>
            </w:r>
          </w:p>
        </w:tc>
        <w:tc>
          <w:tcPr>
            <w:tcW w:type="pct" w:w="25%"/>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Ongoing</w:t>
            </w:r>
          </w:p>
        </w:tc>
        <w:tc>
          <w:tcPr>
            <w:tcW w:type="pct" w:w="25%"/>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Self-directed with quarterly check-in</w:t>
            </w:r>
          </w:p>
        </w:tc>
        <w:tc>
          <w:tcPr>
            <w:tcW w:type="pct" w:w="25%"/>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Member graduates to alumni program with quarterly touchpoints; clinical and engagement data continue to feed reporting for the savings carryover model</w:t>
            </w:r>
          </w:p>
        </w:tc>
      </w:tr>
    </w:tbl>
    <w:p>
      <w:r>
        <w:rPr>
          <w:rFonts w:ascii="Calibri" w:cs="Calibri" w:eastAsia="Calibri" w:hAnsi="Calibri"/>
          <w:sz w:val="22"/>
          <w:szCs w:val="22"/>
        </w:rPr>
        <w:t xml:space="preserve"/>
      </w:r>
    </w:p>
    <w:p>
      <w:r>
        <w:rPr>
          <w:rFonts w:ascii="Calibri" w:cs="Calibri" w:eastAsia="Calibri" w:hAnsi="Calibri"/>
          <w:sz w:val="22"/>
          <w:szCs w:val="22"/>
        </w:rPr>
        <w:t xml:space="preserve"/>
      </w:r>
    </w:p>
    <w:p>
      <w:pPr>
        <w:spacing w:after="160" w:before="320"/>
      </w:pPr>
      <w:r>
        <w:rPr>
          <w:rFonts w:ascii="Calibri" w:cs="Calibri" w:eastAsia="Calibri" w:hAnsi="Calibri"/>
          <w:b/>
          <w:bCs/>
          <w:color w:val="0F4C81"/>
          <w:sz w:val="28"/>
          <w:szCs w:val="28"/>
        </w:rPr>
        <w:t xml:space="preserve">5.3 Three clinical pathways</w:t>
      </w:r>
    </w:p>
    <w:p>
      <w:r>
        <w:rPr>
          <w:rFonts w:ascii="Calibri" w:cs="Calibri" w:eastAsia="Calibri" w:hAnsi="Calibri"/>
          <w:sz w:val="22"/>
          <w:szCs w:val="22"/>
        </w:rPr>
        <w:t xml:space="preserve"/>
      </w:r>
    </w:p>
    <w:p>
      <w:pPr>
        <w:spacing w:after="80" w:before="80"/>
      </w:pPr>
      <w:r>
        <w:rPr>
          <w:rFonts w:ascii="Calibri" w:cs="Calibri" w:eastAsia="Calibri" w:hAnsi="Calibri"/>
          <w:sz w:val="22"/>
          <w:szCs w:val="22"/>
        </w:rPr>
        <w:t xml:space="preserve">Members are assigned to one of three pathways during Phase 2 (Clinical baseline), based on Dr. Love's clinical assessment, member preference, and clinical guideline match.</w:t>
      </w:r>
    </w:p>
    <w:p>
      <w:r>
        <w:rPr>
          <w:rFonts w:ascii="Calibri" w:cs="Calibri" w:eastAsia="Calibri" w:hAnsi="Calibri"/>
          <w:sz w:val="22"/>
          <w:szCs w:val="22"/>
        </w:rPr>
        <w:t xml:space="preserve"/>
      </w:r>
    </w:p>
    <w:p>
      <w:pPr>
        <w:spacing w:after="80" w:before="80"/>
      </w:pPr>
      <w:r>
        <w:rPr>
          <w:rFonts w:ascii="Calibri" w:cs="Calibri" w:eastAsia="Calibri" w:hAnsi="Calibri"/>
          <w:b/>
          <w:bCs/>
          <w:sz w:val="22"/>
          <w:szCs w:val="22"/>
        </w:rPr>
        <w:t xml:space="preserve">Pathway A — Lifestyle Intervention</w:t>
      </w:r>
      <w:r>
        <w:rPr>
          <w:rFonts w:ascii="Calibri" w:cs="Calibri" w:eastAsia="Calibri" w:hAnsi="Calibri"/>
          <w:sz w:val="22"/>
          <w:szCs w:val="22"/>
        </w:rPr>
        <w:t xml:space="preserve"> (estimated 72% of enrolled members)</w:t>
      </w:r>
    </w:p>
    <w:p>
      <w:pPr>
        <w:pStyle w:val="ListParagraph"/>
        <w:numPr>
          <w:ilvl w:val="0"/>
          <w:numId w:val="1"/>
        </w:numPr>
        <w:spacing w:after="60" w:before="60"/>
      </w:pPr>
      <w:r>
        <w:rPr>
          <w:rFonts w:ascii="Calibri" w:cs="Calibri" w:eastAsia="Calibri" w:hAnsi="Calibri"/>
          <w:sz w:val="22"/>
          <w:szCs w:val="22"/>
        </w:rPr>
        <w:t xml:space="preserve">Evidence base: NIH/DPP Trial (58% reduction in type 2 diabetes progression at 5–10% weight loss)</w:t>
      </w:r>
    </w:p>
    <w:p>
      <w:pPr>
        <w:pStyle w:val="ListParagraph"/>
        <w:numPr>
          <w:ilvl w:val="0"/>
          <w:numId w:val="1"/>
        </w:numPr>
        <w:spacing w:after="60" w:before="60"/>
      </w:pPr>
      <w:r>
        <w:rPr>
          <w:rFonts w:ascii="Calibri" w:cs="Calibri" w:eastAsia="Calibri" w:hAnsi="Calibri"/>
          <w:sz w:val="22"/>
          <w:szCs w:val="22"/>
        </w:rPr>
        <w:t xml:space="preserve">Components: structured nutrition coaching, activity tracking, behavioral group sessions led by Dr. Vann, weekly check-ins</w:t>
      </w:r>
    </w:p>
    <w:p>
      <w:pPr>
        <w:pStyle w:val="ListParagraph"/>
        <w:numPr>
          <w:ilvl w:val="0"/>
          <w:numId w:val="1"/>
        </w:numPr>
        <w:spacing w:after="60" w:before="60"/>
      </w:pPr>
      <w:r>
        <w:rPr>
          <w:rFonts w:ascii="Calibri" w:cs="Calibri" w:eastAsia="Calibri" w:hAnsi="Calibri"/>
          <w:sz w:val="22"/>
          <w:szCs w:val="22"/>
        </w:rPr>
        <w:t xml:space="preserve">Clinical cadence: quarterly Dr. Love review</w:t>
      </w:r>
    </w:p>
    <w:p>
      <w:pPr>
        <w:pStyle w:val="ListParagraph"/>
        <w:numPr>
          <w:ilvl w:val="0"/>
          <w:numId w:val="1"/>
        </w:numPr>
        <w:spacing w:after="60" w:before="60"/>
      </w:pPr>
      <w:r>
        <w:rPr>
          <w:rFonts w:ascii="Calibri" w:cs="Calibri" w:eastAsia="Calibri" w:hAnsi="Calibri"/>
          <w:sz w:val="22"/>
          <w:szCs w:val="22"/>
        </w:rPr>
        <w:t xml:space="preserve">Cost component: lifestyle baseline ($3,200/member/year all-in)</w:t>
      </w:r>
    </w:p>
    <w:p>
      <w:r>
        <w:rPr>
          <w:rFonts w:ascii="Calibri" w:cs="Calibri" w:eastAsia="Calibri" w:hAnsi="Calibri"/>
          <w:sz w:val="22"/>
          <w:szCs w:val="22"/>
        </w:rPr>
        <w:t xml:space="preserve"/>
      </w:r>
    </w:p>
    <w:p>
      <w:pPr>
        <w:spacing w:after="80" w:before="80"/>
      </w:pPr>
      <w:r>
        <w:rPr>
          <w:rFonts w:ascii="Calibri" w:cs="Calibri" w:eastAsia="Calibri" w:hAnsi="Calibri"/>
          <w:b/>
          <w:bCs/>
          <w:sz w:val="22"/>
          <w:szCs w:val="22"/>
        </w:rPr>
        <w:t xml:space="preserve">Pathway B — GLP-1 Managed Care</w:t>
      </w:r>
      <w:r>
        <w:rPr>
          <w:rFonts w:ascii="Calibri" w:cs="Calibri" w:eastAsia="Calibri" w:hAnsi="Calibri"/>
          <w:sz w:val="22"/>
          <w:szCs w:val="22"/>
        </w:rPr>
        <w:t xml:space="preserve"> (estimated 20% of enrolled members)</w:t>
      </w:r>
    </w:p>
    <w:p>
      <w:pPr>
        <w:pStyle w:val="ListParagraph"/>
        <w:numPr>
          <w:ilvl w:val="0"/>
          <w:numId w:val="1"/>
        </w:numPr>
        <w:spacing w:after="60" w:before="60"/>
      </w:pPr>
      <w:r>
        <w:rPr>
          <w:rFonts w:ascii="Calibri" w:cs="Calibri" w:eastAsia="Calibri" w:hAnsi="Calibri"/>
          <w:sz w:val="22"/>
          <w:szCs w:val="22"/>
        </w:rPr>
        <w:t xml:space="preserve">Evidence base: STEP-1, STEP-2, STEP-3 trials (15–17% body weight reduction at 68 weeks)</w:t>
      </w:r>
    </w:p>
    <w:p>
      <w:pPr>
        <w:pStyle w:val="ListParagraph"/>
        <w:numPr>
          <w:ilvl w:val="0"/>
          <w:numId w:val="1"/>
        </w:numPr>
        <w:spacing w:after="60" w:before="60"/>
      </w:pPr>
      <w:r>
        <w:rPr>
          <w:rFonts w:ascii="Calibri" w:cs="Calibri" w:eastAsia="Calibri" w:hAnsi="Calibri"/>
          <w:sz w:val="22"/>
          <w:szCs w:val="22"/>
        </w:rPr>
        <w:t xml:space="preserve">Components: GLP-1 prescription, structured titration, side-effect management, monthly clinical visits, weekly coaching, OptumRx fill-history reconciliation</w:t>
      </w:r>
    </w:p>
    <w:p>
      <w:pPr>
        <w:pStyle w:val="ListParagraph"/>
        <w:numPr>
          <w:ilvl w:val="0"/>
          <w:numId w:val="1"/>
        </w:numPr>
        <w:spacing w:after="60" w:before="60"/>
      </w:pPr>
      <w:r>
        <w:rPr>
          <w:rFonts w:ascii="Calibri" w:cs="Calibri" w:eastAsia="Calibri" w:hAnsi="Calibri"/>
          <w:sz w:val="22"/>
          <w:szCs w:val="22"/>
        </w:rPr>
        <w:t xml:space="preserve">Clinical cadence: monthly Dr. Love visit during titration; quarterly during maintenance</w:t>
      </w:r>
    </w:p>
    <w:p>
      <w:pPr>
        <w:pStyle w:val="ListParagraph"/>
        <w:numPr>
          <w:ilvl w:val="0"/>
          <w:numId w:val="1"/>
        </w:numPr>
        <w:spacing w:after="60" w:before="60"/>
      </w:pPr>
      <w:r>
        <w:rPr>
          <w:rFonts w:ascii="Calibri" w:cs="Calibri" w:eastAsia="Calibri" w:hAnsi="Calibri"/>
          <w:sz w:val="22"/>
          <w:szCs w:val="22"/>
        </w:rPr>
        <w:t xml:space="preserve">Member can elect: in-program prescribing (Dr. Love) OR coaching-only support with member's existing prescriber (per Addendum #2 confirmation that either model is acceptable)</w:t>
      </w:r>
    </w:p>
    <w:p>
      <w:r>
        <w:rPr>
          <w:rFonts w:ascii="Calibri" w:cs="Calibri" w:eastAsia="Calibri" w:hAnsi="Calibri"/>
          <w:sz w:val="22"/>
          <w:szCs w:val="22"/>
        </w:rPr>
        <w:t xml:space="preserve"/>
      </w:r>
    </w:p>
    <w:p>
      <w:pPr>
        <w:spacing w:after="80" w:before="80"/>
      </w:pPr>
      <w:r>
        <w:rPr>
          <w:rFonts w:ascii="Calibri" w:cs="Calibri" w:eastAsia="Calibri" w:hAnsi="Calibri"/>
          <w:b/>
          <w:bCs/>
          <w:sz w:val="22"/>
          <w:szCs w:val="22"/>
        </w:rPr>
        <w:t xml:space="preserve">Pathway C — Surgical-Coordinated</w:t>
      </w:r>
      <w:r>
        <w:rPr>
          <w:rFonts w:ascii="Calibri" w:cs="Calibri" w:eastAsia="Calibri" w:hAnsi="Calibri"/>
          <w:sz w:val="22"/>
          <w:szCs w:val="22"/>
        </w:rPr>
        <w:t xml:space="preserve"> (estimated 8% of enrolled members)</w:t>
      </w:r>
    </w:p>
    <w:p>
      <w:pPr>
        <w:pStyle w:val="ListParagraph"/>
        <w:numPr>
          <w:ilvl w:val="0"/>
          <w:numId w:val="1"/>
        </w:numPr>
        <w:spacing w:after="60" w:before="60"/>
      </w:pPr>
      <w:r>
        <w:rPr>
          <w:rFonts w:ascii="Calibri" w:cs="Calibri" w:eastAsia="Calibri" w:hAnsi="Calibri"/>
          <w:sz w:val="22"/>
          <w:szCs w:val="22"/>
        </w:rPr>
        <w:t xml:space="preserve">Evidence base: LOOK AHEAD Trial (sustained 7–8% loss at 4 years with intensive lifestyle); bariatric surgery outcomes literature</w:t>
      </w:r>
    </w:p>
    <w:p>
      <w:pPr>
        <w:pStyle w:val="ListParagraph"/>
        <w:numPr>
          <w:ilvl w:val="0"/>
          <w:numId w:val="1"/>
        </w:numPr>
        <w:spacing w:after="60" w:before="60"/>
      </w:pPr>
      <w:r>
        <w:rPr>
          <w:rFonts w:ascii="Calibri" w:cs="Calibri" w:eastAsia="Calibri" w:hAnsi="Calibri"/>
          <w:sz w:val="22"/>
          <w:szCs w:val="22"/>
        </w:rPr>
        <w:t xml:space="preserve">Components: pre-surgical clinical evaluation, post-surgical lifestyle support, coordination with member's chosen surgical center, long-term behavioral coaching</w:t>
      </w:r>
    </w:p>
    <w:p>
      <w:pPr>
        <w:pStyle w:val="ListParagraph"/>
        <w:numPr>
          <w:ilvl w:val="0"/>
          <w:numId w:val="1"/>
        </w:numPr>
        <w:spacing w:after="60" w:before="60"/>
      </w:pPr>
      <w:r>
        <w:rPr>
          <w:rFonts w:ascii="Calibri" w:cs="Calibri" w:eastAsia="Calibri" w:hAnsi="Calibri"/>
          <w:sz w:val="22"/>
          <w:szCs w:val="22"/>
        </w:rPr>
        <w:t xml:space="preserve">Clinical cadence: aligned with surgical center protocol; Vitality provides wrap-around support</w:t>
      </w:r>
    </w:p>
    <w:p>
      <w:r>
        <w:rPr>
          <w:rFonts w:ascii="Calibri" w:cs="Calibri" w:eastAsia="Calibri" w:hAnsi="Calibri"/>
          <w:sz w:val="22"/>
          <w:szCs w:val="22"/>
        </w:rPr>
        <w:t xml:space="preserve"/>
      </w:r>
    </w:p>
    <w:p>
      <w:pPr>
        <w:spacing w:after="160" w:before="320"/>
      </w:pPr>
      <w:r>
        <w:rPr>
          <w:rFonts w:ascii="Calibri" w:cs="Calibri" w:eastAsia="Calibri" w:hAnsi="Calibri"/>
          <w:b/>
          <w:bCs/>
          <w:color w:val="0F4C81"/>
          <w:sz w:val="28"/>
          <w:szCs w:val="28"/>
        </w:rPr>
        <w:t xml:space="preserve">5.4 Behavioral engagement model</w:t>
      </w:r>
    </w:p>
    <w:p>
      <w:r>
        <w:rPr>
          <w:rFonts w:ascii="Calibri" w:cs="Calibri" w:eastAsia="Calibri" w:hAnsi="Calibri"/>
          <w:sz w:val="22"/>
          <w:szCs w:val="22"/>
        </w:rPr>
        <w:t xml:space="preserve"/>
      </w:r>
    </w:p>
    <w:p>
      <w:pPr>
        <w:spacing w:after="80" w:before="80"/>
      </w:pPr>
      <w:r>
        <w:rPr>
          <w:rFonts w:ascii="Calibri" w:cs="Calibri" w:eastAsia="Calibri" w:hAnsi="Calibri"/>
          <w:sz w:val="22"/>
          <w:szCs w:val="22"/>
        </w:rPr>
        <w:t xml:space="preserve">Dr. Vann's behavioral engagement model is the engine that sustains member engagement — the County's #1 KPI.</w:t>
      </w:r>
    </w:p>
    <w:p>
      <w:r>
        <w:rPr>
          <w:rFonts w:ascii="Calibri" w:cs="Calibri" w:eastAsia="Calibri" w:hAnsi="Calibri"/>
          <w:sz w:val="22"/>
          <w:szCs w:val="22"/>
        </w:rPr>
        <w:t xml:space="preserve"/>
      </w:r>
    </w:p>
    <w:p>
      <w:pPr>
        <w:pStyle w:val="ListParagraph"/>
        <w:numPr>
          <w:ilvl w:val="0"/>
          <w:numId w:val="1"/>
        </w:numPr>
        <w:spacing w:after="60" w:before="60"/>
      </w:pPr>
      <w:r>
        <w:rPr>
          <w:rFonts w:ascii="Calibri" w:cs="Calibri" w:eastAsia="Calibri" w:hAnsi="Calibri"/>
          <w:b/>
          <w:bCs/>
          <w:sz w:val="22"/>
          <w:szCs w:val="22"/>
        </w:rPr>
        <w:t xml:space="preserve">Weekly check-in cadence</w:t>
      </w:r>
      <w:r>
        <w:rPr>
          <w:rFonts w:ascii="Calibri" w:cs="Calibri" w:eastAsia="Calibri" w:hAnsi="Calibri"/>
          <w:sz w:val="22"/>
          <w:szCs w:val="22"/>
        </w:rPr>
        <w:t xml:space="preserve"> during Phase 3 (intensive intervention), via the Vitality PWA, with structured prompts and a coaching response within 24 hours.</w:t>
      </w:r>
    </w:p>
    <w:p>
      <w:pPr>
        <w:pStyle w:val="ListParagraph"/>
        <w:numPr>
          <w:ilvl w:val="0"/>
          <w:numId w:val="1"/>
        </w:numPr>
        <w:spacing w:after="60" w:before="60"/>
      </w:pPr>
      <w:r>
        <w:rPr>
          <w:rFonts w:ascii="Calibri" w:cs="Calibri" w:eastAsia="Calibri" w:hAnsi="Calibri"/>
          <w:b/>
          <w:bCs/>
          <w:sz w:val="22"/>
          <w:szCs w:val="22"/>
        </w:rPr>
        <w:t xml:space="preserve">Biweekly group sessions</w:t>
      </w:r>
      <w:r>
        <w:rPr>
          <w:rFonts w:ascii="Calibri" w:cs="Calibri" w:eastAsia="Calibri" w:hAnsi="Calibri"/>
          <w:sz w:val="22"/>
          <w:szCs w:val="22"/>
        </w:rPr>
        <w:t xml:space="preserve"> during Phase 3 and Phase 4, virtual cohort format, 8–12 members per cohort, facilitated by Dr. Vann or a licensed coach under her supervision.</w:t>
      </w:r>
    </w:p>
    <w:p>
      <w:pPr>
        <w:pStyle w:val="ListParagraph"/>
        <w:numPr>
          <w:ilvl w:val="0"/>
          <w:numId w:val="1"/>
        </w:numPr>
        <w:spacing w:after="60" w:before="60"/>
      </w:pPr>
      <w:r>
        <w:rPr>
          <w:rFonts w:ascii="Calibri" w:cs="Calibri" w:eastAsia="Calibri" w:hAnsi="Calibri"/>
          <w:b/>
          <w:bCs/>
          <w:sz w:val="22"/>
          <w:szCs w:val="22"/>
        </w:rPr>
        <w:t xml:space="preserve">Family and youth programming extensions</w:t>
      </w:r>
      <w:r>
        <w:rPr>
          <w:rFonts w:ascii="Calibri" w:cs="Calibri" w:eastAsia="Calibri" w:hAnsi="Calibri"/>
          <w:sz w:val="22"/>
          <w:szCs w:val="22"/>
        </w:rPr>
        <w:t xml:space="preserve"> for members with dependents — addressing the household environment that drives sustainable weight management.</w:t>
      </w:r>
    </w:p>
    <w:p>
      <w:pPr>
        <w:pStyle w:val="ListParagraph"/>
        <w:numPr>
          <w:ilvl w:val="0"/>
          <w:numId w:val="1"/>
        </w:numPr>
        <w:spacing w:after="60" w:before="60"/>
      </w:pPr>
      <w:r>
        <w:rPr>
          <w:rFonts w:ascii="Calibri" w:cs="Calibri" w:eastAsia="Calibri" w:hAnsi="Calibri"/>
          <w:b/>
          <w:bCs/>
          <w:sz w:val="22"/>
          <w:szCs w:val="22"/>
        </w:rPr>
        <w:t xml:space="preserve">Automated escalation</w:t>
      </w:r>
      <w:r>
        <w:rPr>
          <w:rFonts w:ascii="Calibri" w:cs="Calibri" w:eastAsia="Calibri" w:hAnsi="Calibri"/>
          <w:sz w:val="22"/>
          <w:szCs w:val="22"/>
        </w:rPr>
        <w:t xml:space="preserve"> for any member who does not check in for 14 days, routed to a human coach for outreach.</w:t>
      </w:r>
    </w:p>
    <w:p>
      <w:pPr>
        <w:pStyle w:val="ListParagraph"/>
        <w:numPr>
          <w:ilvl w:val="0"/>
          <w:numId w:val="1"/>
        </w:numPr>
        <w:spacing w:after="60" w:before="60"/>
      </w:pPr>
      <w:r>
        <w:rPr>
          <w:rFonts w:ascii="Calibri" w:cs="Calibri" w:eastAsia="Calibri" w:hAnsi="Calibri"/>
          <w:b/>
          <w:bCs/>
          <w:sz w:val="22"/>
          <w:szCs w:val="22"/>
        </w:rPr>
        <w:t xml:space="preserve">Engagement scoring</w:t>
      </w:r>
      <w:r>
        <w:rPr>
          <w:rFonts w:ascii="Calibri" w:cs="Calibri" w:eastAsia="Calibri" w:hAnsi="Calibri"/>
          <w:sz w:val="22"/>
          <w:szCs w:val="22"/>
        </w:rPr>
        <w:t xml:space="preserve"> for the dashboard, surfaced to the County in quarterly reports.</w:t>
      </w:r>
    </w:p>
    <w:p>
      <w:r>
        <w:rPr>
          <w:rFonts w:ascii="Calibri" w:cs="Calibri" w:eastAsia="Calibri" w:hAnsi="Calibri"/>
          <w:sz w:val="22"/>
          <w:szCs w:val="22"/>
        </w:rPr>
        <w:t xml:space="preserve"/>
      </w:r>
    </w:p>
    <w:p>
      <w:pPr>
        <w:spacing w:after="160" w:before="320"/>
      </w:pPr>
      <w:r>
        <w:rPr>
          <w:rFonts w:ascii="Calibri" w:cs="Calibri" w:eastAsia="Calibri" w:hAnsi="Calibri"/>
          <w:b/>
          <w:bCs/>
          <w:color w:val="0F4C81"/>
          <w:sz w:val="28"/>
          <w:szCs w:val="28"/>
        </w:rPr>
        <w:t xml:space="preserve">5.5 VITA AI persistent-memory advisor</w:t>
      </w:r>
    </w:p>
    <w:p>
      <w:r>
        <w:rPr>
          <w:rFonts w:ascii="Calibri" w:cs="Calibri" w:eastAsia="Calibri" w:hAnsi="Calibri"/>
          <w:sz w:val="22"/>
          <w:szCs w:val="22"/>
        </w:rPr>
        <w:t xml:space="preserve"/>
      </w:r>
    </w:p>
    <w:p>
      <w:pPr>
        <w:spacing w:after="80" w:before="80"/>
      </w:pPr>
      <w:r>
        <w:rPr>
          <w:rFonts w:ascii="Calibri" w:cs="Calibri" w:eastAsia="Calibri" w:hAnsi="Calibri"/>
          <w:sz w:val="22"/>
          <w:szCs w:val="22"/>
        </w:rPr>
        <w:t xml:space="preserve">VITA is Vitality's AI coaching assistant, embedded in the member portal and the employer dashboard. VITA is differentiated from generic AI chatbots by three properties:</w:t>
      </w:r>
    </w:p>
    <w:p>
      <w:r>
        <w:rPr>
          <w:rFonts w:ascii="Calibri" w:cs="Calibri" w:eastAsia="Calibri" w:hAnsi="Calibri"/>
          <w:sz w:val="22"/>
          <w:szCs w:val="22"/>
        </w:rPr>
        <w:t xml:space="preserve"/>
      </w:r>
    </w:p>
    <w:p>
      <w:pPr>
        <w:pStyle w:val="ListParagraph"/>
        <w:numPr>
          <w:ilvl w:val="0"/>
          <w:numId w:val="2"/>
        </w:numPr>
        <w:spacing w:after="60" w:before="60"/>
      </w:pPr>
      <w:r>
        <w:rPr>
          <w:rFonts w:ascii="Calibri" w:cs="Calibri" w:eastAsia="Calibri" w:hAnsi="Calibri"/>
          <w:b/>
          <w:bCs/>
          <w:sz w:val="22"/>
          <w:szCs w:val="22"/>
        </w:rPr>
        <w:t xml:space="preserve">Persistent memory.</w:t>
      </w:r>
      <w:r>
        <w:rPr>
          <w:rFonts w:ascii="Calibri" w:cs="Calibri" w:eastAsia="Calibri" w:hAnsi="Calibri"/>
          <w:sz w:val="22"/>
          <w:szCs w:val="22"/>
        </w:rPr>
        <w:t xml:space="preserve"> Every member conversation is stored. VITA resumes context on every new session — there is no "starting over." A returning member sees a "Resuming — X prior exchanges" badge on their portal.</w:t>
      </w:r>
    </w:p>
    <w:p>
      <w:pPr>
        <w:pStyle w:val="ListParagraph"/>
        <w:numPr>
          <w:ilvl w:val="0"/>
          <w:numId w:val="2"/>
        </w:numPr>
        <w:spacing w:after="60" w:before="60"/>
      </w:pPr>
      <w:r>
        <w:rPr>
          <w:rFonts w:ascii="Calibri" w:cs="Calibri" w:eastAsia="Calibri" w:hAnsi="Calibri"/>
          <w:b/>
          <w:bCs/>
          <w:sz w:val="22"/>
          <w:szCs w:val="22"/>
        </w:rPr>
        <w:t xml:space="preserve">Live clinical context.</w:t>
      </w:r>
      <w:r>
        <w:rPr>
          <w:rFonts w:ascii="Calibri" w:cs="Calibri" w:eastAsia="Calibri" w:hAnsi="Calibri"/>
          <w:sz w:val="22"/>
          <w:szCs w:val="22"/>
        </w:rPr>
        <w:t xml:space="preserve"> VITA receives the member's current weight, BMI, GLP-1 status, active care plan phase, recent weight trend, and achieved milestones with every message. Responses are anchored to the member's real situation, not generic content.</w:t>
      </w:r>
    </w:p>
    <w:p>
      <w:pPr>
        <w:pStyle w:val="ListParagraph"/>
        <w:numPr>
          <w:ilvl w:val="0"/>
          <w:numId w:val="2"/>
        </w:numPr>
        <w:spacing w:after="60" w:before="60"/>
      </w:pPr>
      <w:r>
        <w:rPr>
          <w:rFonts w:ascii="Calibri" w:cs="Calibri" w:eastAsia="Calibri" w:hAnsi="Calibri"/>
          <w:b/>
          <w:bCs/>
          <w:sz w:val="22"/>
          <w:szCs w:val="22"/>
        </w:rPr>
        <w:t xml:space="preserve">Evidence-cited responses.</w:t>
      </w:r>
      <w:r>
        <w:rPr>
          <w:rFonts w:ascii="Calibri" w:cs="Calibri" w:eastAsia="Calibri" w:hAnsi="Calibri"/>
          <w:sz w:val="22"/>
          <w:szCs w:val="22"/>
        </w:rPr>
        <w:t xml:space="preserve"> VITA's clinical answers cite specific studies (DPP, STEP, LOOK AHEAD, RAND). This is a deliberate design choice for an RFP-evaluator audience as well as for clinical defensibility.</w:t>
      </w:r>
    </w:p>
    <w:p>
      <w:r>
        <w:rPr>
          <w:rFonts w:ascii="Calibri" w:cs="Calibri" w:eastAsia="Calibri" w:hAnsi="Calibri"/>
          <w:sz w:val="22"/>
          <w:szCs w:val="22"/>
        </w:rPr>
        <w:t xml:space="preserve"/>
      </w:r>
    </w:p>
    <w:p>
      <w:pPr>
        <w:spacing w:after="80" w:before="80"/>
      </w:pPr>
      <w:r>
        <w:rPr>
          <w:rFonts w:ascii="Calibri" w:cs="Calibri" w:eastAsia="Calibri" w:hAnsi="Calibri"/>
          <w:sz w:val="22"/>
          <w:szCs w:val="22"/>
        </w:rPr>
        <w:t xml:space="preserve">VITA operates in two modes: a warm, Dr. Love–voiced member mode, and an analytical, ROI-focused employer mode for the County dashboard. Both modes share the same persistent-memory architecture.</w:t>
      </w:r>
    </w:p>
    <w:p>
      <w:r>
        <w:rPr>
          <w:rFonts w:ascii="Calibri" w:cs="Calibri" w:eastAsia="Calibri" w:hAnsi="Calibri"/>
          <w:sz w:val="22"/>
          <w:szCs w:val="22"/>
        </w:rPr>
        <w:t xml:space="preserve"/>
      </w:r>
    </w:p>
    <w:p>
      <w:pPr>
        <w:spacing w:after="160" w:before="320"/>
      </w:pPr>
      <w:r>
        <w:rPr>
          <w:rFonts w:ascii="Calibri" w:cs="Calibri" w:eastAsia="Calibri" w:hAnsi="Calibri"/>
          <w:b/>
          <w:bCs/>
          <w:color w:val="0F4C81"/>
          <w:sz w:val="28"/>
          <w:szCs w:val="28"/>
        </w:rPr>
        <w:t xml:space="preserve">5.6 The GLP-1 managed-care protocol — the headline differentiator</w:t>
      </w:r>
    </w:p>
    <w:p>
      <w:r>
        <w:rPr>
          <w:rFonts w:ascii="Calibri" w:cs="Calibri" w:eastAsia="Calibri" w:hAnsi="Calibri"/>
          <w:sz w:val="22"/>
          <w:szCs w:val="22"/>
        </w:rPr>
        <w:t xml:space="preserve"/>
      </w:r>
    </w:p>
    <w:p>
      <w:pPr>
        <w:spacing w:after="80" w:before="80"/>
      </w:pPr>
      <w:r>
        <w:rPr>
          <w:rFonts w:ascii="Calibri" w:cs="Calibri" w:eastAsia="Calibri" w:hAnsi="Calibri"/>
          <w:sz w:val="22"/>
          <w:szCs w:val="22"/>
        </w:rPr>
        <w:t xml:space="preserve">This is the operational answer to the $2.09M Year-1 savings opportunity. The protocol has six components:</w:t>
      </w:r>
    </w:p>
    <w:p>
      <w:r>
        <w:rPr>
          <w:rFonts w:ascii="Calibri" w:cs="Calibri" w:eastAsia="Calibri" w:hAnsi="Calibri"/>
          <w:sz w:val="22"/>
          <w:szCs w:val="22"/>
        </w:rPr>
        <w:t xml:space="preserve"/>
      </w:r>
    </w:p>
    <w:p>
      <w:pPr>
        <w:pStyle w:val="ListParagraph"/>
        <w:numPr>
          <w:ilvl w:val="0"/>
          <w:numId w:val="2"/>
        </w:numPr>
        <w:spacing w:after="60" w:before="60"/>
      </w:pPr>
      <w:r>
        <w:rPr>
          <w:rFonts w:ascii="Calibri" w:cs="Calibri" w:eastAsia="Calibri" w:hAnsi="Calibri"/>
          <w:b/>
          <w:bCs/>
          <w:sz w:val="22"/>
          <w:szCs w:val="22"/>
        </w:rPr>
        <w:t xml:space="preserve">Initial clinical evaluation by Dr. Love</w:t>
      </w:r>
      <w:r>
        <w:rPr>
          <w:rFonts w:ascii="Calibri" w:cs="Calibri" w:eastAsia="Calibri" w:hAnsi="Calibri"/>
          <w:sz w:val="22"/>
          <w:szCs w:val="22"/>
        </w:rPr>
        <w:t xml:space="preserve"> for every member entering Pathway B. Establishes baseline metrics, comorbidities, contraindications, and titration plan.</w:t>
      </w:r>
    </w:p>
    <w:p>
      <w:pPr>
        <w:pStyle w:val="ListParagraph"/>
        <w:numPr>
          <w:ilvl w:val="0"/>
          <w:numId w:val="2"/>
        </w:numPr>
        <w:spacing w:after="60" w:before="60"/>
      </w:pPr>
      <w:r>
        <w:rPr>
          <w:rFonts w:ascii="Calibri" w:cs="Calibri" w:eastAsia="Calibri" w:hAnsi="Calibri"/>
          <w:b/>
          <w:bCs/>
          <w:sz w:val="22"/>
          <w:szCs w:val="22"/>
        </w:rPr>
        <w:t xml:space="preserve">Structured titration over 12–16 weeks</w:t>
      </w:r>
      <w:r>
        <w:rPr>
          <w:rFonts w:ascii="Calibri" w:cs="Calibri" w:eastAsia="Calibri" w:hAnsi="Calibri"/>
          <w:sz w:val="22"/>
          <w:szCs w:val="22"/>
        </w:rPr>
        <w:t xml:space="preserve"> with proactive side-effect management. Members are contacted on day 3, day 7, day 14, and weekly thereafter during titration to surface and address side effects before they cause discontinuation. This is the single most important intervention against the 47% attrition pattern.</w:t>
      </w:r>
    </w:p>
    <w:p>
      <w:pPr>
        <w:pStyle w:val="ListParagraph"/>
        <w:numPr>
          <w:ilvl w:val="0"/>
          <w:numId w:val="2"/>
        </w:numPr>
        <w:spacing w:after="60" w:before="60"/>
      </w:pPr>
      <w:r>
        <w:rPr>
          <w:rFonts w:ascii="Calibri" w:cs="Calibri" w:eastAsia="Calibri" w:hAnsi="Calibri"/>
          <w:b/>
          <w:bCs/>
          <w:sz w:val="22"/>
          <w:szCs w:val="22"/>
        </w:rPr>
        <w:t xml:space="preserve">OptumRx fill-history reconciliation.</w:t>
      </w:r>
      <w:r>
        <w:rPr>
          <w:rFonts w:ascii="Calibri" w:cs="Calibri" w:eastAsia="Calibri" w:hAnsi="Calibri"/>
          <w:sz w:val="22"/>
          <w:szCs w:val="22"/>
        </w:rPr>
        <w:t xml:space="preserve"> Vitality receives weekly fill-history feeds from OptumRx and reconciles them against expected fills. Members who miss a fill receive coaching outreach within 48 hours.</w:t>
      </w:r>
    </w:p>
    <w:p>
      <w:pPr>
        <w:pStyle w:val="ListParagraph"/>
        <w:numPr>
          <w:ilvl w:val="0"/>
          <w:numId w:val="2"/>
        </w:numPr>
        <w:spacing w:after="60" w:before="60"/>
      </w:pPr>
      <w:r>
        <w:rPr>
          <w:rFonts w:ascii="Calibri" w:cs="Calibri" w:eastAsia="Calibri" w:hAnsi="Calibri"/>
          <w:b/>
          <w:bCs/>
          <w:sz w:val="22"/>
          <w:szCs w:val="22"/>
        </w:rPr>
        <w:t xml:space="preserve">Behavioral coaching from Dr. Vann's team</w:t>
      </w:r>
      <w:r>
        <w:rPr>
          <w:rFonts w:ascii="Calibri" w:cs="Calibri" w:eastAsia="Calibri" w:hAnsi="Calibri"/>
          <w:sz w:val="22"/>
          <w:szCs w:val="22"/>
        </w:rPr>
        <w:t xml:space="preserve"> throughout titration and maintenance. Members on GLP-1 receive structured nutrition support, activity coaching, and sleep/stress modules — the lifestyle scaffolding that makes the medication work.</w:t>
      </w:r>
    </w:p>
    <w:p>
      <w:pPr>
        <w:pStyle w:val="ListParagraph"/>
        <w:numPr>
          <w:ilvl w:val="0"/>
          <w:numId w:val="2"/>
        </w:numPr>
        <w:spacing w:after="60" w:before="60"/>
      </w:pPr>
      <w:r>
        <w:rPr>
          <w:rFonts w:ascii="Calibri" w:cs="Calibri" w:eastAsia="Calibri" w:hAnsi="Calibri"/>
          <w:b/>
          <w:bCs/>
          <w:sz w:val="22"/>
          <w:szCs w:val="22"/>
        </w:rPr>
        <w:t xml:space="preserve">Coordination with member's existing prescriber</w:t>
      </w:r>
      <w:r>
        <w:rPr>
          <w:rFonts w:ascii="Calibri" w:cs="Calibri" w:eastAsia="Calibri" w:hAnsi="Calibri"/>
          <w:sz w:val="22"/>
          <w:szCs w:val="22"/>
        </w:rPr>
        <w:t xml:space="preserve"> (if the member chooses to remain with their PCP rather than have Dr. Love prescribe). Vitality acts as the supporting coaching and reporting layer; the member's PCP retains prescribing authority. Per Addendum #2, the County has confirmed this model is acceptable.</w:t>
      </w:r>
    </w:p>
    <w:p>
      <w:pPr>
        <w:pStyle w:val="ListParagraph"/>
        <w:numPr>
          <w:ilvl w:val="0"/>
          <w:numId w:val="2"/>
        </w:numPr>
        <w:spacing w:after="60" w:before="60"/>
      </w:pPr>
      <w:r>
        <w:rPr>
          <w:rFonts w:ascii="Calibri" w:cs="Calibri" w:eastAsia="Calibri" w:hAnsi="Calibri"/>
          <w:b/>
          <w:bCs/>
          <w:sz w:val="22"/>
          <w:szCs w:val="22"/>
        </w:rPr>
        <w:t xml:space="preserve">Monthly clinical visits during titration; quarterly thereafter.</w:t>
      </w:r>
      <w:r>
        <w:rPr>
          <w:rFonts w:ascii="Calibri" w:cs="Calibri" w:eastAsia="Calibri" w:hAnsi="Calibri"/>
          <w:sz w:val="22"/>
          <w:szCs w:val="22"/>
        </w:rPr>
        <w:t xml:space="preserve"> Dr. Love (or a credentialed clinician on her team) maintains direct medical oversight throughout the member's GLP-1 course.</w:t>
      </w:r>
    </w:p>
    <w:p>
      <w:r>
        <w:rPr>
          <w:rFonts w:ascii="Calibri" w:cs="Calibri" w:eastAsia="Calibri" w:hAnsi="Calibri"/>
          <w:sz w:val="22"/>
          <w:szCs w:val="22"/>
        </w:rPr>
        <w:t xml:space="preserve"/>
      </w:r>
    </w:p>
    <w:p>
      <w:pPr>
        <w:spacing w:after="80" w:before="80"/>
      </w:pPr>
      <w:r>
        <w:rPr>
          <w:rFonts w:ascii="Calibri" w:cs="Calibri" w:eastAsia="Calibri" w:hAnsi="Calibri"/>
          <w:sz w:val="22"/>
          <w:szCs w:val="22"/>
        </w:rPr>
        <w:t xml:space="preserve">The protocol directly targets the 47% attrition rate visible in the County's 705-to-373 cohort transition. If Vitality reduces twelve-month attrition from 47% to 25% — a conservative target relative to managed-GLP-1 published outcomes — the County retains an additional ~155 members on effective therapy in Year 1, with corresponding compounding outcomes and savings.</w:t>
      </w:r>
    </w:p>
    <w:p>
      <w:r>
        <w:rPr>
          <w:rFonts w:ascii="Calibri" w:cs="Calibri" w:eastAsia="Calibri" w:hAnsi="Calibri"/>
          <w:sz w:val="22"/>
          <w:szCs w:val="22"/>
        </w:rPr>
        <w:t xml:space="preserve"/>
      </w:r>
    </w:p>
    <w:p>
      <w:pPr>
        <w:pBdr>
          <w:bottom w:val="single" w:color="888888" w:sz="6" w:space="1"/>
        </w:pBdr>
        <w:spacing w:after="120" w:before="120"/>
      </w:pPr>
    </w:p>
    <w:p>
      <w:r>
        <w:rPr>
          <w:rFonts w:ascii="Calibri" w:cs="Calibri" w:eastAsia="Calibri" w:hAnsi="Calibri"/>
          <w:sz w:val="22"/>
          <w:szCs w:val="22"/>
        </w:rPr>
        <w:t xml:space="preserve"/>
      </w:r>
    </w:p>
    <w:p>
      <w:pPr>
        <w:spacing w:after="220" w:before="360"/>
        <w:jc w:val="left"/>
      </w:pPr>
      <w:r>
        <w:rPr>
          <w:rFonts w:ascii="Calibri" w:cs="Calibri" w:eastAsia="Calibri" w:hAnsi="Calibri"/>
          <w:b/>
          <w:bCs/>
          <w:color w:val="0F4C81"/>
          <w:sz w:val="36"/>
          <w:szCs w:val="36"/>
        </w:rPr>
        <w:t xml:space="preserve">Section 6 — Technology Platform</w:t>
      </w:r>
    </w:p>
    <w:p>
      <w:r>
        <w:rPr>
          <w:rFonts w:ascii="Calibri" w:cs="Calibri" w:eastAsia="Calibri" w:hAnsi="Calibri"/>
          <w:sz w:val="22"/>
          <w:szCs w:val="22"/>
        </w:rPr>
        <w:t xml:space="preserve"/>
      </w:r>
    </w:p>
    <w:p>
      <w:pPr>
        <w:spacing w:after="160" w:before="320"/>
      </w:pPr>
      <w:r>
        <w:rPr>
          <w:rFonts w:ascii="Calibri" w:cs="Calibri" w:eastAsia="Calibri" w:hAnsi="Calibri"/>
          <w:b/>
          <w:bCs/>
          <w:color w:val="0F4C81"/>
          <w:sz w:val="28"/>
          <w:szCs w:val="28"/>
        </w:rPr>
        <w:t xml:space="preserve">6.1 PWA architecture</w:t>
      </w:r>
    </w:p>
    <w:p>
      <w:r>
        <w:rPr>
          <w:rFonts w:ascii="Calibri" w:cs="Calibri" w:eastAsia="Calibri" w:hAnsi="Calibri"/>
          <w:sz w:val="22"/>
          <w:szCs w:val="22"/>
        </w:rPr>
        <w:t xml:space="preserve"/>
      </w:r>
    </w:p>
    <w:p>
      <w:pPr>
        <w:spacing w:after="80" w:before="80"/>
      </w:pPr>
      <w:r>
        <w:rPr>
          <w:rFonts w:ascii="Calibri" w:cs="Calibri" w:eastAsia="Calibri" w:hAnsi="Calibri"/>
          <w:sz w:val="22"/>
          <w:szCs w:val="22"/>
        </w:rPr>
        <w:t xml:space="preserve">The Vitality member experience is delivered as a Progressive Web Application (PWA). This means:</w:t>
      </w:r>
    </w:p>
    <w:p>
      <w:r>
        <w:rPr>
          <w:rFonts w:ascii="Calibri" w:cs="Calibri" w:eastAsia="Calibri" w:hAnsi="Calibri"/>
          <w:sz w:val="22"/>
          <w:szCs w:val="22"/>
        </w:rPr>
        <w:t xml:space="preserve"/>
      </w:r>
    </w:p>
    <w:p>
      <w:pPr>
        <w:pStyle w:val="ListParagraph"/>
        <w:numPr>
          <w:ilvl w:val="0"/>
          <w:numId w:val="1"/>
        </w:numPr>
        <w:spacing w:after="60" w:before="60"/>
      </w:pPr>
      <w:r>
        <w:rPr>
          <w:rFonts w:ascii="Calibri" w:cs="Calibri" w:eastAsia="Calibri" w:hAnsi="Calibri"/>
          <w:b/>
          <w:bCs/>
          <w:sz w:val="22"/>
          <w:szCs w:val="22"/>
        </w:rPr>
        <w:t xml:space="preserve">No app-store install required.</w:t>
      </w:r>
      <w:r>
        <w:rPr>
          <w:rFonts w:ascii="Calibri" w:cs="Calibri" w:eastAsia="Calibri" w:hAnsi="Calibri"/>
          <w:sz w:val="22"/>
          <w:szCs w:val="22"/>
        </w:rPr>
        <w:t xml:space="preserve"> Members access the program from any modern web browser on any device — phone, tablet, laptop, desktop. The PWA supports add-to-home-screen on iOS and Android for native-app-style access without the friction of an app-store flow.</w:t>
      </w:r>
    </w:p>
    <w:p>
      <w:pPr>
        <w:pStyle w:val="ListParagraph"/>
        <w:numPr>
          <w:ilvl w:val="0"/>
          <w:numId w:val="1"/>
        </w:numPr>
        <w:spacing w:after="60" w:before="60"/>
      </w:pPr>
      <w:r>
        <w:rPr>
          <w:rFonts w:ascii="Calibri" w:cs="Calibri" w:eastAsia="Calibri" w:hAnsi="Calibri"/>
          <w:b/>
          <w:bCs/>
          <w:sz w:val="22"/>
          <w:szCs w:val="22"/>
        </w:rPr>
        <w:t xml:space="preserve">Offline capability.</w:t>
      </w:r>
      <w:r>
        <w:rPr>
          <w:rFonts w:ascii="Calibri" w:cs="Calibri" w:eastAsia="Calibri" w:hAnsi="Calibri"/>
          <w:sz w:val="22"/>
          <w:szCs w:val="22"/>
        </w:rPr>
        <w:t xml:space="preserve"> Members can log weight, complete daily check-ins, and review coaching materials offline; data syncs when connectivity returns.</w:t>
      </w:r>
    </w:p>
    <w:p>
      <w:pPr>
        <w:pStyle w:val="ListParagraph"/>
        <w:numPr>
          <w:ilvl w:val="0"/>
          <w:numId w:val="1"/>
        </w:numPr>
        <w:spacing w:after="60" w:before="60"/>
      </w:pPr>
      <w:r>
        <w:rPr>
          <w:rFonts w:ascii="Calibri" w:cs="Calibri" w:eastAsia="Calibri" w:hAnsi="Calibri"/>
          <w:b/>
          <w:bCs/>
          <w:sz w:val="22"/>
          <w:szCs w:val="22"/>
        </w:rPr>
        <w:t xml:space="preserve">Push notifications</w:t>
      </w:r>
      <w:r>
        <w:rPr>
          <w:rFonts w:ascii="Calibri" w:cs="Calibri" w:eastAsia="Calibri" w:hAnsi="Calibri"/>
          <w:sz w:val="22"/>
          <w:szCs w:val="22"/>
        </w:rPr>
        <w:t xml:space="preserve"> on Android and modern iOS, for coaching prompts, medication reminders, and weekly check-in nudges.</w:t>
      </w:r>
    </w:p>
    <w:p>
      <w:pPr>
        <w:pStyle w:val="ListParagraph"/>
        <w:numPr>
          <w:ilvl w:val="0"/>
          <w:numId w:val="1"/>
        </w:numPr>
        <w:spacing w:after="60" w:before="60"/>
      </w:pPr>
      <w:r>
        <w:rPr>
          <w:rFonts w:ascii="Calibri" w:cs="Calibri" w:eastAsia="Calibri" w:hAnsi="Calibri"/>
          <w:b/>
          <w:bCs/>
          <w:sz w:val="22"/>
          <w:szCs w:val="22"/>
        </w:rPr>
        <w:t xml:space="preserve">Accessibility:</w:t>
      </w:r>
      <w:r>
        <w:rPr>
          <w:rFonts w:ascii="Calibri" w:cs="Calibri" w:eastAsia="Calibri" w:hAnsi="Calibri"/>
          <w:sz w:val="22"/>
          <w:szCs w:val="22"/>
        </w:rPr>
        <w:t xml:space="preserve"> WCAG 2.1 AA compliance, Section 508 compliance, screen-reader support, keyboard navigation, high-contrast mode.</w:t>
      </w:r>
    </w:p>
    <w:p>
      <w:r>
        <w:rPr>
          <w:rFonts w:ascii="Calibri" w:cs="Calibri" w:eastAsia="Calibri" w:hAnsi="Calibri"/>
          <w:sz w:val="22"/>
          <w:szCs w:val="22"/>
        </w:rPr>
        <w:t xml:space="preserve"/>
      </w:r>
    </w:p>
    <w:p>
      <w:pPr>
        <w:spacing w:after="80" w:before="80"/>
      </w:pPr>
      <w:r>
        <w:rPr>
          <w:rFonts w:ascii="Calibri" w:cs="Calibri" w:eastAsia="Calibri" w:hAnsi="Calibri"/>
          <w:sz w:val="22"/>
          <w:szCs w:val="22"/>
        </w:rPr>
        <w:t xml:space="preserve">The platform stack is React 19 + TypeScript on the front end, Express 5 on the API server, PostgreSQL with Drizzle ORM for the database, and a Claude AI (Anthropic) integration for the VITA assistant. All software is built and maintained by Dr. Flood's team at The COLLABORATIVE Advocate Foundation.</w:t>
      </w:r>
    </w:p>
    <w:p>
      <w:r>
        <w:rPr>
          <w:rFonts w:ascii="Calibri" w:cs="Calibri" w:eastAsia="Calibri" w:hAnsi="Calibri"/>
          <w:sz w:val="22"/>
          <w:szCs w:val="22"/>
        </w:rPr>
        <w:t xml:space="preserve"/>
      </w:r>
    </w:p>
    <w:p>
      <w:pPr>
        <w:spacing w:after="160" w:before="320"/>
      </w:pPr>
      <w:r>
        <w:rPr>
          <w:rFonts w:ascii="Calibri" w:cs="Calibri" w:eastAsia="Calibri" w:hAnsi="Calibri"/>
          <w:b/>
          <w:bCs/>
          <w:color w:val="0F4C81"/>
          <w:sz w:val="28"/>
          <w:szCs w:val="28"/>
        </w:rPr>
        <w:t xml:space="preserve">6.2 Integration with UnitedHealthcare (TPA)</w:t>
      </w:r>
    </w:p>
    <w:p>
      <w:r>
        <w:rPr>
          <w:rFonts w:ascii="Calibri" w:cs="Calibri" w:eastAsia="Calibri" w:hAnsi="Calibri"/>
          <w:sz w:val="22"/>
          <w:szCs w:val="22"/>
        </w:rPr>
        <w:t xml:space="preserve"/>
      </w:r>
    </w:p>
    <w:p>
      <w:pPr>
        <w:spacing w:after="80" w:before="80"/>
      </w:pPr>
      <w:r>
        <w:rPr>
          <w:rFonts w:ascii="Calibri" w:cs="Calibri" w:eastAsia="Calibri" w:hAnsi="Calibri"/>
          <w:sz w:val="22"/>
          <w:szCs w:val="22"/>
        </w:rPr>
        <w:t xml:space="preserve">UnitedHealthcare is Sedgwick County's TPA on the self-insured plan (Group #902769). Vitality integrates with UHC across three surfaces:</w:t>
      </w:r>
    </w:p>
    <w:p>
      <w:r>
        <w:rPr>
          <w:rFonts w:ascii="Calibri" w:cs="Calibri" w:eastAsia="Calibri" w:hAnsi="Calibri"/>
          <w:sz w:val="22"/>
          <w:szCs w:val="22"/>
        </w:rPr>
        <w:t xml:space="preserve"/>
      </w:r>
    </w:p>
    <w:p>
      <w:pPr>
        <w:pStyle w:val="ListParagraph"/>
        <w:numPr>
          <w:ilvl w:val="0"/>
          <w:numId w:val="1"/>
        </w:numPr>
        <w:spacing w:after="60" w:before="60"/>
      </w:pPr>
      <w:r>
        <w:rPr>
          <w:rFonts w:ascii="Calibri" w:cs="Calibri" w:eastAsia="Calibri" w:hAnsi="Calibri"/>
          <w:b/>
          <w:bCs/>
          <w:sz w:val="22"/>
          <w:szCs w:val="22"/>
        </w:rPr>
        <w:t xml:space="preserve">Eligibility feed:</w:t>
      </w:r>
      <w:r>
        <w:rPr>
          <w:rFonts w:ascii="Calibri" w:cs="Calibri" w:eastAsia="Calibri" w:hAnsi="Calibri"/>
          <w:sz w:val="22"/>
          <w:szCs w:val="22"/>
        </w:rPr>
        <w:t xml:space="preserve"> SFTP or API-based daily roster sync from UHC's eligibility files. Establishes the eligible adult population (4,213 per Addendum #2) and supports automated enrollment validation.</w:t>
      </w:r>
    </w:p>
    <w:p>
      <w:pPr>
        <w:pStyle w:val="ListParagraph"/>
        <w:numPr>
          <w:ilvl w:val="0"/>
          <w:numId w:val="1"/>
        </w:numPr>
        <w:spacing w:after="60" w:before="60"/>
      </w:pPr>
      <w:r>
        <w:rPr>
          <w:rFonts w:ascii="Calibri" w:cs="Calibri" w:eastAsia="Calibri" w:hAnsi="Calibri"/>
          <w:b/>
          <w:bCs/>
          <w:sz w:val="22"/>
          <w:szCs w:val="22"/>
        </w:rPr>
        <w:t xml:space="preserve">Claims data feed:</w:t>
      </w:r>
      <w:r>
        <w:rPr>
          <w:rFonts w:ascii="Calibri" w:cs="Calibri" w:eastAsia="Calibri" w:hAnsi="Calibri"/>
          <w:sz w:val="22"/>
          <w:szCs w:val="22"/>
        </w:rPr>
        <w:t xml:space="preserve"> Monthly de-identified claims extract under BAA, used for outcome measurement (claims-cost trend, hospital and ER utilization for the at-risk cohort).</w:t>
      </w:r>
    </w:p>
    <w:p>
      <w:pPr>
        <w:pStyle w:val="ListParagraph"/>
        <w:numPr>
          <w:ilvl w:val="0"/>
          <w:numId w:val="1"/>
        </w:numPr>
        <w:spacing w:after="60" w:before="60"/>
      </w:pPr>
      <w:r>
        <w:rPr>
          <w:rFonts w:ascii="Calibri" w:cs="Calibri" w:eastAsia="Calibri" w:hAnsi="Calibri"/>
          <w:b/>
          <w:bCs/>
          <w:sz w:val="22"/>
          <w:szCs w:val="22"/>
        </w:rPr>
        <w:t xml:space="preserve">FHIR R4 read access</w:t>
      </w:r>
      <w:r>
        <w:rPr>
          <w:rFonts w:ascii="Calibri" w:cs="Calibri" w:eastAsia="Calibri" w:hAnsi="Calibri"/>
          <w:sz w:val="22"/>
          <w:szCs w:val="22"/>
        </w:rPr>
        <w:t xml:space="preserve"> (if available from UHC's API gateway): supports real-time member clinical context for VITA and Dr. Love's clinical team.</w:t>
      </w:r>
    </w:p>
    <w:p>
      <w:r>
        <w:rPr>
          <w:rFonts w:ascii="Calibri" w:cs="Calibri" w:eastAsia="Calibri" w:hAnsi="Calibri"/>
          <w:sz w:val="22"/>
          <w:szCs w:val="22"/>
        </w:rPr>
        <w:t xml:space="preserve"/>
      </w:r>
    </w:p>
    <w:p>
      <w:pPr>
        <w:spacing w:after="80" w:before="80"/>
      </w:pPr>
      <w:r>
        <w:rPr>
          <w:rFonts w:ascii="Calibri" w:cs="Calibri" w:eastAsia="Calibri" w:hAnsi="Calibri"/>
          <w:sz w:val="22"/>
          <w:szCs w:val="22"/>
        </w:rPr>
        <w:t xml:space="preserve">Integration timeline: 30–45 days from contract execution, dependent on UHC IT scheduling.</w:t>
      </w:r>
    </w:p>
    <w:p>
      <w:r>
        <w:rPr>
          <w:rFonts w:ascii="Calibri" w:cs="Calibri" w:eastAsia="Calibri" w:hAnsi="Calibri"/>
          <w:sz w:val="22"/>
          <w:szCs w:val="22"/>
        </w:rPr>
        <w:t xml:space="preserve"/>
      </w:r>
    </w:p>
    <w:p>
      <w:pPr>
        <w:spacing w:after="160" w:before="320"/>
      </w:pPr>
      <w:r>
        <w:rPr>
          <w:rFonts w:ascii="Calibri" w:cs="Calibri" w:eastAsia="Calibri" w:hAnsi="Calibri"/>
          <w:b/>
          <w:bCs/>
          <w:color w:val="0F4C81"/>
          <w:sz w:val="28"/>
          <w:szCs w:val="28"/>
        </w:rPr>
        <w:t xml:space="preserve">6.3 Integration with OptumRx (PBM)</w:t>
      </w:r>
    </w:p>
    <w:p>
      <w:r>
        <w:rPr>
          <w:rFonts w:ascii="Calibri" w:cs="Calibri" w:eastAsia="Calibri" w:hAnsi="Calibri"/>
          <w:sz w:val="22"/>
          <w:szCs w:val="22"/>
        </w:rPr>
        <w:t xml:space="preserve"/>
      </w:r>
    </w:p>
    <w:p>
      <w:pPr>
        <w:spacing w:after="80" w:before="80"/>
      </w:pPr>
      <w:r>
        <w:rPr>
          <w:rFonts w:ascii="Calibri" w:cs="Calibri" w:eastAsia="Calibri" w:hAnsi="Calibri"/>
          <w:sz w:val="22"/>
          <w:szCs w:val="22"/>
        </w:rPr>
        <w:t xml:space="preserve">OptumRx is Sedgwick County's PBM. Vitality integrates across two surfaces:</w:t>
      </w:r>
    </w:p>
    <w:p>
      <w:r>
        <w:rPr>
          <w:rFonts w:ascii="Calibri" w:cs="Calibri" w:eastAsia="Calibri" w:hAnsi="Calibri"/>
          <w:sz w:val="22"/>
          <w:szCs w:val="22"/>
        </w:rPr>
        <w:t xml:space="preserve"/>
      </w:r>
    </w:p>
    <w:p>
      <w:pPr>
        <w:pStyle w:val="ListParagraph"/>
        <w:numPr>
          <w:ilvl w:val="0"/>
          <w:numId w:val="1"/>
        </w:numPr>
        <w:spacing w:after="60" w:before="60"/>
      </w:pPr>
      <w:r>
        <w:rPr>
          <w:rFonts w:ascii="Calibri" w:cs="Calibri" w:eastAsia="Calibri" w:hAnsi="Calibri"/>
          <w:b/>
          <w:bCs/>
          <w:sz w:val="22"/>
          <w:szCs w:val="22"/>
        </w:rPr>
        <w:t xml:space="preserve">GLP-1 authorization status feed:</w:t>
      </w:r>
      <w:r>
        <w:rPr>
          <w:rFonts w:ascii="Calibri" w:cs="Calibri" w:eastAsia="Calibri" w:hAnsi="Calibri"/>
          <w:sz w:val="22"/>
          <w:szCs w:val="22"/>
        </w:rPr>
        <w:t xml:space="preserve"> read-only access to OptumRx prior-authorization decisions for members enrolled in Vitality. This allows Dr. Love's clinical team to know which members have current GLP-1 authorization without manually contacting members.</w:t>
      </w:r>
    </w:p>
    <w:p>
      <w:pPr>
        <w:pStyle w:val="ListParagraph"/>
        <w:numPr>
          <w:ilvl w:val="0"/>
          <w:numId w:val="1"/>
        </w:numPr>
        <w:spacing w:after="60" w:before="60"/>
      </w:pPr>
      <w:r>
        <w:rPr>
          <w:rFonts w:ascii="Calibri" w:cs="Calibri" w:eastAsia="Calibri" w:hAnsi="Calibri"/>
          <w:b/>
          <w:bCs/>
          <w:sz w:val="22"/>
          <w:szCs w:val="22"/>
        </w:rPr>
        <w:t xml:space="preserve">Fill-history feed:</w:t>
      </w:r>
      <w:r>
        <w:rPr>
          <w:rFonts w:ascii="Calibri" w:cs="Calibri" w:eastAsia="Calibri" w:hAnsi="Calibri"/>
          <w:sz w:val="22"/>
          <w:szCs w:val="22"/>
        </w:rPr>
        <w:t xml:space="preserve"> weekly extract of GLP-1 fill events for enrolled members. Drives the fill-reconciliation process described in Section 5.6.</w:t>
      </w:r>
    </w:p>
    <w:p>
      <w:r>
        <w:rPr>
          <w:rFonts w:ascii="Calibri" w:cs="Calibri" w:eastAsia="Calibri" w:hAnsi="Calibri"/>
          <w:sz w:val="22"/>
          <w:szCs w:val="22"/>
        </w:rPr>
        <w:t xml:space="preserve"/>
      </w:r>
    </w:p>
    <w:p>
      <w:pPr>
        <w:spacing w:after="80" w:before="80"/>
      </w:pPr>
      <w:r>
        <w:rPr>
          <w:rFonts w:ascii="Calibri" w:cs="Calibri" w:eastAsia="Calibri" w:hAnsi="Calibri"/>
          <w:sz w:val="22"/>
          <w:szCs w:val="22"/>
        </w:rPr>
        <w:t xml:space="preserve">We do not request prescribing authority within OptumRx, do not modify the formulary, and do not change any prior-authorization rules. Vitality's role is observational and coordinative.</w:t>
      </w:r>
    </w:p>
    <w:p>
      <w:r>
        <w:rPr>
          <w:rFonts w:ascii="Calibri" w:cs="Calibri" w:eastAsia="Calibri" w:hAnsi="Calibri"/>
          <w:sz w:val="22"/>
          <w:szCs w:val="22"/>
        </w:rPr>
        <w:t xml:space="preserve"/>
      </w:r>
    </w:p>
    <w:p>
      <w:pPr>
        <w:spacing w:after="80" w:before="80"/>
      </w:pPr>
      <w:r>
        <w:rPr>
          <w:rFonts w:ascii="Calibri" w:cs="Calibri" w:eastAsia="Calibri" w:hAnsi="Calibri"/>
          <w:sz w:val="22"/>
          <w:szCs w:val="22"/>
        </w:rPr>
        <w:t xml:space="preserve">Integration timeline: 30–45 days from contract execution.</w:t>
      </w:r>
    </w:p>
    <w:p>
      <w:r>
        <w:rPr>
          <w:rFonts w:ascii="Calibri" w:cs="Calibri" w:eastAsia="Calibri" w:hAnsi="Calibri"/>
          <w:sz w:val="22"/>
          <w:szCs w:val="22"/>
        </w:rPr>
        <w:t xml:space="preserve"/>
      </w:r>
    </w:p>
    <w:p>
      <w:pPr>
        <w:spacing w:after="160" w:before="320"/>
      </w:pPr>
      <w:r>
        <w:rPr>
          <w:rFonts w:ascii="Calibri" w:cs="Calibri" w:eastAsia="Calibri" w:hAnsi="Calibri"/>
          <w:b/>
          <w:bCs/>
          <w:color w:val="0F4C81"/>
          <w:sz w:val="28"/>
          <w:szCs w:val="28"/>
        </w:rPr>
        <w:t xml:space="preserve">6.4 Coexistence with Rally</w:t>
      </w:r>
    </w:p>
    <w:p>
      <w:r>
        <w:rPr>
          <w:rFonts w:ascii="Calibri" w:cs="Calibri" w:eastAsia="Calibri" w:hAnsi="Calibri"/>
          <w:sz w:val="22"/>
          <w:szCs w:val="22"/>
        </w:rPr>
        <w:t xml:space="preserve"/>
      </w:r>
    </w:p>
    <w:p>
      <w:pPr>
        <w:spacing w:after="80" w:before="80"/>
      </w:pPr>
      <w:r>
        <w:rPr>
          <w:rFonts w:ascii="Calibri" w:cs="Calibri" w:eastAsia="Calibri" w:hAnsi="Calibri"/>
          <w:sz w:val="22"/>
          <w:szCs w:val="22"/>
        </w:rPr>
        <w:t xml:space="preserve">Rally is the County's current member-engagement platform, provided through UHC. Vitality coexists with Rally rather than replacing it. Our integration model:</w:t>
      </w:r>
    </w:p>
    <w:p>
      <w:r>
        <w:rPr>
          <w:rFonts w:ascii="Calibri" w:cs="Calibri" w:eastAsia="Calibri" w:hAnsi="Calibri"/>
          <w:sz w:val="22"/>
          <w:szCs w:val="22"/>
        </w:rPr>
        <w:t xml:space="preserve"/>
      </w:r>
    </w:p>
    <w:p>
      <w:pPr>
        <w:pStyle w:val="ListParagraph"/>
        <w:numPr>
          <w:ilvl w:val="0"/>
          <w:numId w:val="1"/>
        </w:numPr>
        <w:spacing w:after="60" w:before="60"/>
      </w:pPr>
      <w:r>
        <w:rPr>
          <w:rFonts w:ascii="Calibri" w:cs="Calibri" w:eastAsia="Calibri" w:hAnsi="Calibri"/>
          <w:b/>
          <w:bCs/>
          <w:sz w:val="22"/>
          <w:szCs w:val="22"/>
        </w:rPr>
        <w:t xml:space="preserve">Single-sign-on hand-off.</w:t>
      </w:r>
      <w:r>
        <w:rPr>
          <w:rFonts w:ascii="Calibri" w:cs="Calibri" w:eastAsia="Calibri" w:hAnsi="Calibri"/>
          <w:sz w:val="22"/>
          <w:szCs w:val="22"/>
        </w:rPr>
        <w:t xml:space="preserve"> Members can launch Vitality from Rally with a one-click SSO flow (Azure AD / SAML 2.0).</w:t>
      </w:r>
    </w:p>
    <w:p>
      <w:pPr>
        <w:pStyle w:val="ListParagraph"/>
        <w:numPr>
          <w:ilvl w:val="0"/>
          <w:numId w:val="1"/>
        </w:numPr>
        <w:spacing w:after="60" w:before="60"/>
      </w:pPr>
      <w:r>
        <w:rPr>
          <w:rFonts w:ascii="Calibri" w:cs="Calibri" w:eastAsia="Calibri" w:hAnsi="Calibri"/>
          <w:b/>
          <w:bCs/>
          <w:sz w:val="22"/>
          <w:szCs w:val="22"/>
        </w:rPr>
        <w:t xml:space="preserve">Engagement data exchange.</w:t>
      </w:r>
      <w:r>
        <w:rPr>
          <w:rFonts w:ascii="Calibri" w:cs="Calibri" w:eastAsia="Calibri" w:hAnsi="Calibri"/>
          <w:sz w:val="22"/>
          <w:szCs w:val="22"/>
        </w:rPr>
        <w:t xml:space="preserve"> Vitality engagement metrics (check-ins, coaching touchpoints) can be exported to Rally to roll up into the County's broader wellness dashboard.</w:t>
      </w:r>
    </w:p>
    <w:p>
      <w:pPr>
        <w:pStyle w:val="ListParagraph"/>
        <w:numPr>
          <w:ilvl w:val="0"/>
          <w:numId w:val="1"/>
        </w:numPr>
        <w:spacing w:after="60" w:before="60"/>
      </w:pPr>
      <w:r>
        <w:rPr>
          <w:rFonts w:ascii="Calibri" w:cs="Calibri" w:eastAsia="Calibri" w:hAnsi="Calibri"/>
          <w:b/>
          <w:bCs/>
          <w:sz w:val="22"/>
          <w:szCs w:val="22"/>
        </w:rPr>
        <w:t xml:space="preserve">No duplication of general-wellness content.</w:t>
      </w:r>
      <w:r>
        <w:rPr>
          <w:rFonts w:ascii="Calibri" w:cs="Calibri" w:eastAsia="Calibri" w:hAnsi="Calibri"/>
          <w:sz w:val="22"/>
          <w:szCs w:val="22"/>
        </w:rPr>
        <w:t xml:space="preserve"> Rally remains the source of truth for general wellness (gym reimbursement, biometric screenings, mental health). Vitality is the source of truth for weight management and GLP-1 utilization specifically.</w:t>
      </w:r>
    </w:p>
    <w:p>
      <w:r>
        <w:rPr>
          <w:rFonts w:ascii="Calibri" w:cs="Calibri" w:eastAsia="Calibri" w:hAnsi="Calibri"/>
          <w:sz w:val="22"/>
          <w:szCs w:val="22"/>
        </w:rPr>
        <w:t xml:space="preserve"/>
      </w:r>
    </w:p>
    <w:p>
      <w:pPr>
        <w:spacing w:after="160" w:before="320"/>
      </w:pPr>
      <w:r>
        <w:rPr>
          <w:rFonts w:ascii="Calibri" w:cs="Calibri" w:eastAsia="Calibri" w:hAnsi="Calibri"/>
          <w:b/>
          <w:bCs/>
          <w:color w:val="0F4C81"/>
          <w:sz w:val="28"/>
          <w:szCs w:val="28"/>
        </w:rPr>
        <w:t xml:space="preserve">6.5 Single sign-on and identity</w:t>
      </w:r>
    </w:p>
    <w:p>
      <w:r>
        <w:rPr>
          <w:rFonts w:ascii="Calibri" w:cs="Calibri" w:eastAsia="Calibri" w:hAnsi="Calibri"/>
          <w:sz w:val="22"/>
          <w:szCs w:val="22"/>
        </w:rPr>
        <w:t xml:space="preserve"/>
      </w:r>
    </w:p>
    <w:p>
      <w:pPr>
        <w:spacing w:after="80" w:before="80"/>
      </w:pPr>
      <w:r>
        <w:rPr>
          <w:rFonts w:ascii="Calibri" w:cs="Calibri" w:eastAsia="Calibri" w:hAnsi="Calibri"/>
          <w:sz w:val="22"/>
          <w:szCs w:val="22"/>
        </w:rPr>
        <w:t xml:space="preserve">Vitality supports the following SSO and identity providers:</w:t>
      </w:r>
    </w:p>
    <w:p>
      <w:r>
        <w:rPr>
          <w:rFonts w:ascii="Calibri" w:cs="Calibri" w:eastAsia="Calibri" w:hAnsi="Calibri"/>
          <w:sz w:val="22"/>
          <w:szCs w:val="22"/>
        </w:rPr>
        <w:t xml:space="preserve"/>
      </w:r>
    </w:p>
    <w:p>
      <w:pPr>
        <w:pStyle w:val="ListParagraph"/>
        <w:numPr>
          <w:ilvl w:val="0"/>
          <w:numId w:val="1"/>
        </w:numPr>
        <w:spacing w:after="60" w:before="60"/>
      </w:pPr>
      <w:r>
        <w:rPr>
          <w:rFonts w:ascii="Calibri" w:cs="Calibri" w:eastAsia="Calibri" w:hAnsi="Calibri"/>
          <w:sz w:val="22"/>
          <w:szCs w:val="22"/>
        </w:rPr>
        <w:t xml:space="preserve">Microsoft Entra ID / Azure AD (SAML 2.0 and OIDC) — recommended for the County's environment</w:t>
      </w:r>
    </w:p>
    <w:p>
      <w:pPr>
        <w:pStyle w:val="ListParagraph"/>
        <w:numPr>
          <w:ilvl w:val="0"/>
          <w:numId w:val="1"/>
        </w:numPr>
        <w:spacing w:after="60" w:before="60"/>
      </w:pPr>
      <w:r>
        <w:rPr>
          <w:rFonts w:ascii="Calibri" w:cs="Calibri" w:eastAsia="Calibri" w:hAnsi="Calibri"/>
          <w:sz w:val="22"/>
          <w:szCs w:val="22"/>
        </w:rPr>
        <w:t xml:space="preserve">Okta (SAML 2.0 and OIDC)</w:t>
      </w:r>
    </w:p>
    <w:p>
      <w:pPr>
        <w:pStyle w:val="ListParagraph"/>
        <w:numPr>
          <w:ilvl w:val="0"/>
          <w:numId w:val="1"/>
        </w:numPr>
        <w:spacing w:after="60" w:before="60"/>
      </w:pPr>
      <w:r>
        <w:rPr>
          <w:rFonts w:ascii="Calibri" w:cs="Calibri" w:eastAsia="Calibri" w:hAnsi="Calibri"/>
          <w:sz w:val="22"/>
          <w:szCs w:val="22"/>
        </w:rPr>
        <w:t xml:space="preserve">Google Workspace (OIDC)</w:t>
      </w:r>
    </w:p>
    <w:p>
      <w:pPr>
        <w:pStyle w:val="ListParagraph"/>
        <w:numPr>
          <w:ilvl w:val="0"/>
          <w:numId w:val="1"/>
        </w:numPr>
        <w:spacing w:after="60" w:before="60"/>
      </w:pPr>
      <w:r>
        <w:rPr>
          <w:rFonts w:ascii="Calibri" w:cs="Calibri" w:eastAsia="Calibri" w:hAnsi="Calibri"/>
          <w:sz w:val="22"/>
          <w:szCs w:val="22"/>
        </w:rPr>
        <w:t xml:space="preserve">City/County LDAP (legacy support)</w:t>
      </w:r>
    </w:p>
    <w:p>
      <w:pPr>
        <w:pStyle w:val="ListParagraph"/>
        <w:numPr>
          <w:ilvl w:val="0"/>
          <w:numId w:val="1"/>
        </w:numPr>
        <w:spacing w:after="60" w:before="60"/>
      </w:pPr>
      <w:r>
        <w:rPr>
          <w:rFonts w:ascii="Calibri" w:cs="Calibri" w:eastAsia="Calibri" w:hAnsi="Calibri"/>
          <w:sz w:val="22"/>
          <w:szCs w:val="22"/>
        </w:rPr>
        <w:t xml:space="preserve">Multi-factor authentication enforced for all administrative and clinical users</w:t>
      </w:r>
    </w:p>
    <w:p>
      <w:pPr>
        <w:pStyle w:val="ListParagraph"/>
        <w:numPr>
          <w:ilvl w:val="0"/>
          <w:numId w:val="1"/>
        </w:numPr>
        <w:spacing w:after="60" w:before="60"/>
      </w:pPr>
      <w:r>
        <w:rPr>
          <w:rFonts w:ascii="Calibri" w:cs="Calibri" w:eastAsia="Calibri" w:hAnsi="Calibri"/>
          <w:sz w:val="22"/>
          <w:szCs w:val="22"/>
        </w:rPr>
        <w:t xml:space="preserve">Self-service password reset for members; SSO bypass for members who prefer email/password</w:t>
      </w:r>
    </w:p>
    <w:p>
      <w:r>
        <w:rPr>
          <w:rFonts w:ascii="Calibri" w:cs="Calibri" w:eastAsia="Calibri" w:hAnsi="Calibri"/>
          <w:sz w:val="22"/>
          <w:szCs w:val="22"/>
        </w:rPr>
        <w:t xml:space="preserve"/>
      </w:r>
    </w:p>
    <w:p>
      <w:pPr>
        <w:spacing w:after="160" w:before="320"/>
      </w:pPr>
      <w:r>
        <w:rPr>
          <w:rFonts w:ascii="Calibri" w:cs="Calibri" w:eastAsia="Calibri" w:hAnsi="Calibri"/>
          <w:b/>
          <w:bCs/>
          <w:color w:val="0F4C81"/>
          <w:sz w:val="28"/>
          <w:szCs w:val="28"/>
        </w:rPr>
        <w:t xml:space="preserve">6.6 Security, HIPAA, and data governance</w:t>
      </w:r>
    </w:p>
    <w:p>
      <w:r>
        <w:rPr>
          <w:rFonts w:ascii="Calibri" w:cs="Calibri" w:eastAsia="Calibri" w:hAnsi="Calibri"/>
          <w:sz w:val="22"/>
          <w:szCs w:val="22"/>
        </w:rPr>
        <w:t xml:space="preserve"/>
      </w:r>
    </w:p>
    <w:p>
      <w:pPr>
        <w:pStyle w:val="ListParagraph"/>
        <w:numPr>
          <w:ilvl w:val="0"/>
          <w:numId w:val="1"/>
        </w:numPr>
        <w:spacing w:after="60" w:before="60"/>
      </w:pPr>
      <w:r>
        <w:rPr>
          <w:rFonts w:ascii="Calibri" w:cs="Calibri" w:eastAsia="Calibri" w:hAnsi="Calibri"/>
          <w:b/>
          <w:bCs/>
          <w:sz w:val="22"/>
          <w:szCs w:val="22"/>
        </w:rPr>
        <w:t xml:space="preserve">HIPAA compliance</w:t>
      </w:r>
      <w:r>
        <w:rPr>
          <w:rFonts w:ascii="Calibri" w:cs="Calibri" w:eastAsia="Calibri" w:hAnsi="Calibri"/>
          <w:sz w:val="22"/>
          <w:szCs w:val="22"/>
        </w:rPr>
        <w:t xml:space="preserve"> at the technical, administrative, and physical levels. Business Associate Agreement will be executed at contract award.</w:t>
      </w:r>
    </w:p>
    <w:p>
      <w:pPr>
        <w:pStyle w:val="ListParagraph"/>
        <w:numPr>
          <w:ilvl w:val="0"/>
          <w:numId w:val="1"/>
        </w:numPr>
        <w:spacing w:after="60" w:before="60"/>
      </w:pPr>
      <w:r>
        <w:rPr>
          <w:rFonts w:ascii="Calibri" w:cs="Calibri" w:eastAsia="Calibri" w:hAnsi="Calibri"/>
          <w:b/>
          <w:bCs/>
          <w:sz w:val="22"/>
          <w:szCs w:val="22"/>
        </w:rPr>
        <w:t xml:space="preserve">Encryption</w:t>
      </w:r>
      <w:r>
        <w:rPr>
          <w:rFonts w:ascii="Calibri" w:cs="Calibri" w:eastAsia="Calibri" w:hAnsi="Calibri"/>
          <w:sz w:val="22"/>
          <w:szCs w:val="22"/>
        </w:rPr>
        <w:t xml:space="preserve"> at rest (AES-256) and in transit (TLS 1.3).</w:t>
      </w:r>
    </w:p>
    <w:p>
      <w:pPr>
        <w:pStyle w:val="ListParagraph"/>
        <w:numPr>
          <w:ilvl w:val="0"/>
          <w:numId w:val="1"/>
        </w:numPr>
        <w:spacing w:after="60" w:before="60"/>
      </w:pPr>
      <w:r>
        <w:rPr>
          <w:rFonts w:ascii="Calibri" w:cs="Calibri" w:eastAsia="Calibri" w:hAnsi="Calibri"/>
          <w:b/>
          <w:bCs/>
          <w:sz w:val="22"/>
          <w:szCs w:val="22"/>
        </w:rPr>
        <w:t xml:space="preserve">Role-based access control.</w:t>
      </w:r>
      <w:r>
        <w:rPr>
          <w:rFonts w:ascii="Calibri" w:cs="Calibri" w:eastAsia="Calibri" w:hAnsi="Calibri"/>
          <w:sz w:val="22"/>
          <w:szCs w:val="22"/>
        </w:rPr>
        <w:t xml:space="preserve"> Clinical roles (Dr. Love and her team), coaching roles (Dr. Vann and her team), administrative roles, and County reviewer roles each have defined access scopes.</w:t>
      </w:r>
    </w:p>
    <w:p>
      <w:pPr>
        <w:pStyle w:val="ListParagraph"/>
        <w:numPr>
          <w:ilvl w:val="0"/>
          <w:numId w:val="1"/>
        </w:numPr>
        <w:spacing w:after="60" w:before="60"/>
      </w:pPr>
      <w:r>
        <w:rPr>
          <w:rFonts w:ascii="Calibri" w:cs="Calibri" w:eastAsia="Calibri" w:hAnsi="Calibri"/>
          <w:b/>
          <w:bCs/>
          <w:sz w:val="22"/>
          <w:szCs w:val="22"/>
        </w:rPr>
        <w:t xml:space="preserve">Audit logging</w:t>
      </w:r>
      <w:r>
        <w:rPr>
          <w:rFonts w:ascii="Calibri" w:cs="Calibri" w:eastAsia="Calibri" w:hAnsi="Calibri"/>
          <w:sz w:val="22"/>
          <w:szCs w:val="22"/>
        </w:rPr>
        <w:t xml:space="preserve"> of every clinical data access, retained for 7 years per HIPAA.</w:t>
      </w:r>
    </w:p>
    <w:p>
      <w:pPr>
        <w:pStyle w:val="ListParagraph"/>
        <w:numPr>
          <w:ilvl w:val="0"/>
          <w:numId w:val="1"/>
        </w:numPr>
        <w:spacing w:after="60" w:before="60"/>
      </w:pPr>
      <w:r>
        <w:rPr>
          <w:rFonts w:ascii="Calibri" w:cs="Calibri" w:eastAsia="Calibri" w:hAnsi="Calibri"/>
          <w:b/>
          <w:bCs/>
          <w:sz w:val="22"/>
          <w:szCs w:val="22"/>
        </w:rPr>
        <w:t xml:space="preserve">Data residency</w:t>
      </w:r>
      <w:r>
        <w:rPr>
          <w:rFonts w:ascii="Calibri" w:cs="Calibri" w:eastAsia="Calibri" w:hAnsi="Calibri"/>
          <w:sz w:val="22"/>
          <w:szCs w:val="22"/>
        </w:rPr>
        <w:t xml:space="preserve"> in U.S.-based cloud infrastructure with SOC 2 Type II certification.</w:t>
      </w:r>
    </w:p>
    <w:p>
      <w:pPr>
        <w:pStyle w:val="ListParagraph"/>
        <w:numPr>
          <w:ilvl w:val="0"/>
          <w:numId w:val="1"/>
        </w:numPr>
        <w:spacing w:after="60" w:before="60"/>
      </w:pPr>
      <w:r>
        <w:rPr>
          <w:rFonts w:ascii="Calibri" w:cs="Calibri" w:eastAsia="Calibri" w:hAnsi="Calibri"/>
          <w:b/>
          <w:bCs/>
          <w:sz w:val="22"/>
          <w:szCs w:val="22"/>
        </w:rPr>
        <w:t xml:space="preserve">42 CFR Part 2 readiness</w:t>
      </w:r>
      <w:r>
        <w:rPr>
          <w:rFonts w:ascii="Calibri" w:cs="Calibri" w:eastAsia="Calibri" w:hAnsi="Calibri"/>
          <w:sz w:val="22"/>
          <w:szCs w:val="22"/>
        </w:rPr>
        <w:t xml:space="preserve"> if the County identifies any substance-use-disorder data flows that require it.</w:t>
      </w:r>
    </w:p>
    <w:p>
      <w:pPr>
        <w:pStyle w:val="ListParagraph"/>
        <w:numPr>
          <w:ilvl w:val="0"/>
          <w:numId w:val="1"/>
        </w:numPr>
        <w:spacing w:after="60" w:before="60"/>
      </w:pPr>
      <w:r>
        <w:rPr>
          <w:rFonts w:ascii="Calibri" w:cs="Calibri" w:eastAsia="Calibri" w:hAnsi="Calibri"/>
          <w:b/>
          <w:bCs/>
          <w:sz w:val="22"/>
          <w:szCs w:val="22"/>
        </w:rPr>
        <w:t xml:space="preserve">De-identification</w:t>
      </w:r>
      <w:r>
        <w:rPr>
          <w:rFonts w:ascii="Calibri" w:cs="Calibri" w:eastAsia="Calibri" w:hAnsi="Calibri"/>
          <w:sz w:val="22"/>
          <w:szCs w:val="22"/>
        </w:rPr>
        <w:t xml:space="preserve"> for all aggregate reports to the County (HIPAA Safe Harbor or Expert Determination method, depending on cohort size).</w:t>
      </w:r>
    </w:p>
    <w:p>
      <w:pPr>
        <w:pStyle w:val="ListParagraph"/>
        <w:numPr>
          <w:ilvl w:val="0"/>
          <w:numId w:val="1"/>
        </w:numPr>
        <w:spacing w:after="60" w:before="60"/>
      </w:pPr>
      <w:r>
        <w:rPr>
          <w:rFonts w:ascii="Calibri" w:cs="Calibri" w:eastAsia="Calibri" w:hAnsi="Calibri"/>
          <w:b/>
          <w:bCs/>
          <w:sz w:val="22"/>
          <w:szCs w:val="22"/>
        </w:rPr>
        <w:t xml:space="preserve">Member access and portability rights</w:t>
      </w:r>
      <w:r>
        <w:rPr>
          <w:rFonts w:ascii="Calibri" w:cs="Calibri" w:eastAsia="Calibri" w:hAnsi="Calibri"/>
          <w:sz w:val="22"/>
          <w:szCs w:val="22"/>
        </w:rPr>
        <w:t xml:space="preserve"> under HIPAA: members can export their full Vitality record at any time.</w:t>
      </w:r>
    </w:p>
    <w:p>
      <w:r>
        <w:rPr>
          <w:rFonts w:ascii="Calibri" w:cs="Calibri" w:eastAsia="Calibri" w:hAnsi="Calibri"/>
          <w:sz w:val="22"/>
          <w:szCs w:val="22"/>
        </w:rPr>
        <w:t xml:space="preserve"/>
      </w:r>
    </w:p>
    <w:p>
      <w:pPr>
        <w:pBdr>
          <w:bottom w:val="single" w:color="888888" w:sz="6" w:space="1"/>
        </w:pBdr>
        <w:spacing w:after="120" w:before="120"/>
      </w:pPr>
    </w:p>
    <w:p>
      <w:r>
        <w:rPr>
          <w:rFonts w:ascii="Calibri" w:cs="Calibri" w:eastAsia="Calibri" w:hAnsi="Calibri"/>
          <w:sz w:val="22"/>
          <w:szCs w:val="22"/>
        </w:rPr>
        <w:t xml:space="preserve"/>
      </w:r>
    </w:p>
    <w:p>
      <w:pPr>
        <w:spacing w:after="220" w:before="360"/>
        <w:jc w:val="left"/>
      </w:pPr>
      <w:r>
        <w:rPr>
          <w:rFonts w:ascii="Calibri" w:cs="Calibri" w:eastAsia="Calibri" w:hAnsi="Calibri"/>
          <w:b/>
          <w:bCs/>
          <w:color w:val="0F4C81"/>
          <w:sz w:val="36"/>
          <w:szCs w:val="36"/>
        </w:rPr>
        <w:t xml:space="preserve">Section 7 — Implementation Plan</w:t>
      </w:r>
    </w:p>
    <w:p>
      <w:r>
        <w:rPr>
          <w:rFonts w:ascii="Calibri" w:cs="Calibri" w:eastAsia="Calibri" w:hAnsi="Calibri"/>
          <w:sz w:val="22"/>
          <w:szCs w:val="22"/>
        </w:rPr>
        <w:t xml:space="preserve"/>
      </w:r>
    </w:p>
    <w:p>
      <w:pPr>
        <w:spacing w:after="160" w:before="320"/>
      </w:pPr>
      <w:r>
        <w:rPr>
          <w:rFonts w:ascii="Calibri" w:cs="Calibri" w:eastAsia="Calibri" w:hAnsi="Calibri"/>
          <w:b/>
          <w:bCs/>
          <w:color w:val="0F4C81"/>
          <w:sz w:val="28"/>
          <w:szCs w:val="28"/>
        </w:rPr>
        <w:t xml:space="preserve">7.1 90-day stand-up timeline</w:t>
      </w:r>
    </w:p>
    <w:p>
      <w:r>
        <w:rPr>
          <w:rFonts w:ascii="Calibri" w:cs="Calibri" w:eastAsia="Calibri" w:hAnsi="Calibri"/>
          <w:sz w:val="22"/>
          <w:szCs w:val="22"/>
        </w:rPr>
        <w:t xml:space="preserve"/>
      </w:r>
    </w:p>
    <w:tbl>
      <w:tblPr>
        <w:tblW w:type="pct" w:w="100%"/>
        <w:tblBorders>
          <w:top w:val="single" w:color="BFBFBF" w:sz="4"/>
          <w:left w:val="single" w:color="BFBFBF" w:sz="4"/>
          <w:bottom w:val="single" w:color="BFBFBF" w:sz="4"/>
          <w:right w:val="single" w:color="BFBFBF" w:sz="4"/>
          <w:insideH w:val="single" w:color="D9D9D9" w:sz="2"/>
          <w:insideV w:val="single" w:color="D9D9D9" w:sz="2"/>
        </w:tblBorders>
      </w:tblPr>
      <w:tblGrid>
        <w:gridCol w:w="100"/>
        <w:gridCol w:w="100"/>
        <w:gridCol w:w="100"/>
      </w:tblGrid>
      <w:tr>
        <w:trPr>
          <w:tblHeader/>
        </w:trPr>
        <w:tc>
          <w:tcPr>
            <w:tcW w:type="pct" w:w="33%"/>
            <w:shd w:fill="0F4C81"/>
            <w:tcMar>
              <w:top w:type="dxa" w:w="80"/>
              <w:left w:type="dxa" w:w="100"/>
              <w:bottom w:type="dxa" w:w="80"/>
              <w:right w:type="dxa" w:w="100"/>
            </w:tcMar>
          </w:tcPr>
          <w:p>
            <w:pPr>
              <w:spacing w:after="40" w:before="40"/>
            </w:pPr>
            <w:r>
              <w:rPr>
                <w:rFonts w:ascii="Calibri" w:cs="Calibri" w:eastAsia="Calibri" w:hAnsi="Calibri"/>
                <w:b/>
                <w:bCs/>
                <w:color w:val="FFFFFF"/>
                <w:sz w:val="20"/>
                <w:szCs w:val="20"/>
              </w:rPr>
              <w:t xml:space="preserve">Week</w:t>
            </w:r>
          </w:p>
        </w:tc>
        <w:tc>
          <w:tcPr>
            <w:tcW w:type="pct" w:w="33%"/>
            <w:shd w:fill="0F4C81"/>
            <w:tcMar>
              <w:top w:type="dxa" w:w="80"/>
              <w:left w:type="dxa" w:w="100"/>
              <w:bottom w:type="dxa" w:w="80"/>
              <w:right w:type="dxa" w:w="100"/>
            </w:tcMar>
          </w:tcPr>
          <w:p>
            <w:pPr>
              <w:spacing w:after="40" w:before="40"/>
            </w:pPr>
            <w:r>
              <w:rPr>
                <w:rFonts w:ascii="Calibri" w:cs="Calibri" w:eastAsia="Calibri" w:hAnsi="Calibri"/>
                <w:b/>
                <w:bCs/>
                <w:color w:val="FFFFFF"/>
                <w:sz w:val="20"/>
                <w:szCs w:val="20"/>
              </w:rPr>
              <w:t xml:space="preserve">Workstream</w:t>
            </w:r>
          </w:p>
        </w:tc>
        <w:tc>
          <w:tcPr>
            <w:tcW w:type="pct" w:w="33%"/>
            <w:shd w:fill="0F4C81"/>
            <w:tcMar>
              <w:top w:type="dxa" w:w="80"/>
              <w:left w:type="dxa" w:w="100"/>
              <w:bottom w:type="dxa" w:w="80"/>
              <w:right w:type="dxa" w:w="100"/>
            </w:tcMar>
          </w:tcPr>
          <w:p>
            <w:pPr>
              <w:spacing w:after="40" w:before="40"/>
            </w:pPr>
            <w:r>
              <w:rPr>
                <w:rFonts w:ascii="Calibri" w:cs="Calibri" w:eastAsia="Calibri" w:hAnsi="Calibri"/>
                <w:b/>
                <w:bCs/>
                <w:color w:val="FFFFFF"/>
                <w:sz w:val="20"/>
                <w:szCs w:val="20"/>
              </w:rPr>
              <w:t xml:space="preserve">Milestone</w:t>
            </w:r>
          </w:p>
        </w:tc>
      </w:tr>
      <w:tr>
        <w:tc>
          <w:tcPr>
            <w:tcW w:type="pct" w:w="33%"/>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1–2</w:t>
            </w:r>
          </w:p>
        </w:tc>
        <w:tc>
          <w:tcPr>
            <w:tcW w:type="pct" w:w="33%"/>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Contracting</w:t>
            </w:r>
          </w:p>
        </w:tc>
        <w:tc>
          <w:tcPr>
            <w:tcW w:type="pct" w:w="33%"/>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Contract execution, BAA execution, kickoff meeting with County procurement, HR, and Risk Management</w:t>
            </w:r>
          </w:p>
        </w:tc>
      </w:tr>
      <w:tr>
        <w:tc>
          <w:tcPr>
            <w:tcW w:type="pct" w:w="33%"/>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1–3</w:t>
            </w:r>
          </w:p>
        </w:tc>
        <w:tc>
          <w:tcPr>
            <w:tcW w:type="pct" w:w="33%"/>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Technical</w:t>
            </w:r>
          </w:p>
        </w:tc>
        <w:tc>
          <w:tcPr>
            <w:tcW w:type="pct" w:w="33%"/>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UHC eligibility-feed connection initiated, OptumRx fill-history feed initiated, SSO configuration with County IT</w:t>
            </w:r>
          </w:p>
        </w:tc>
      </w:tr>
      <w:tr>
        <w:tc>
          <w:tcPr>
            <w:tcW w:type="pct" w:w="33%"/>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2–4</w:t>
            </w:r>
          </w:p>
        </w:tc>
        <w:tc>
          <w:tcPr>
            <w:tcW w:type="pct" w:w="33%"/>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Clinical</w:t>
            </w:r>
          </w:p>
        </w:tc>
        <w:tc>
          <w:tcPr>
            <w:tcW w:type="pct" w:w="33%"/>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Dr. Love finalizes program clinical protocols, GLP-1 titration playbook, side-effect management algorithms</w:t>
            </w:r>
          </w:p>
        </w:tc>
      </w:tr>
      <w:tr>
        <w:tc>
          <w:tcPr>
            <w:tcW w:type="pct" w:w="33%"/>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3–5</w:t>
            </w:r>
          </w:p>
        </w:tc>
        <w:tc>
          <w:tcPr>
            <w:tcW w:type="pct" w:w="33%"/>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Coaching</w:t>
            </w:r>
          </w:p>
        </w:tc>
        <w:tc>
          <w:tcPr>
            <w:tcW w:type="pct" w:w="33%"/>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Dr. Vann finalizes coaching curriculum, weekly cadence templates, group-session structure</w:t>
            </w:r>
          </w:p>
        </w:tc>
      </w:tr>
      <w:tr>
        <w:tc>
          <w:tcPr>
            <w:tcW w:type="pct" w:w="33%"/>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4–6</w:t>
            </w:r>
          </w:p>
        </w:tc>
        <w:tc>
          <w:tcPr>
            <w:tcW w:type="pct" w:w="33%"/>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Platform</w:t>
            </w:r>
          </w:p>
        </w:tc>
        <w:tc>
          <w:tcPr>
            <w:tcW w:type="pct" w:w="33%"/>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Vitality PWA tenanted for Sedgwick County; County branding applied; SSO live in test environment</w:t>
            </w:r>
          </w:p>
        </w:tc>
      </w:tr>
      <w:tr>
        <w:tc>
          <w:tcPr>
            <w:tcW w:type="pct" w:w="33%"/>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5–7</w:t>
            </w:r>
          </w:p>
        </w:tc>
        <w:tc>
          <w:tcPr>
            <w:tcW w:type="pct" w:w="33%"/>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Compliance</w:t>
            </w:r>
          </w:p>
        </w:tc>
        <w:tc>
          <w:tcPr>
            <w:tcW w:type="pct" w:w="33%"/>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HIPAA risk assessment complete; security review with County IT</w:t>
            </w:r>
          </w:p>
        </w:tc>
      </w:tr>
      <w:tr>
        <w:tc>
          <w:tcPr>
            <w:tcW w:type="pct" w:w="33%"/>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6–9</w:t>
            </w:r>
          </w:p>
        </w:tc>
        <w:tc>
          <w:tcPr>
            <w:tcW w:type="pct" w:w="33%"/>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Launch readiness</w:t>
            </w:r>
          </w:p>
        </w:tc>
        <w:tc>
          <w:tcPr>
            <w:tcW w:type="pct" w:w="33%"/>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UAT with a 10-member County pilot cohort; integration end-to-end validation</w:t>
            </w:r>
          </w:p>
        </w:tc>
      </w:tr>
      <w:tr>
        <w:tc>
          <w:tcPr>
            <w:tcW w:type="pct" w:w="33%"/>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9–10</w:t>
            </w:r>
          </w:p>
        </w:tc>
        <w:tc>
          <w:tcPr>
            <w:tcW w:type="pct" w:w="33%"/>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Communication</w:t>
            </w:r>
          </w:p>
        </w:tc>
        <w:tc>
          <w:tcPr>
            <w:tcW w:type="pct" w:w="33%"/>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Member-facing communication plan executed (email, intranet, printed materials in County offices)</w:t>
            </w:r>
          </w:p>
        </w:tc>
      </w:tr>
      <w:tr>
        <w:tc>
          <w:tcPr>
            <w:tcW w:type="pct" w:w="33%"/>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10–12</w:t>
            </w:r>
          </w:p>
        </w:tc>
        <w:tc>
          <w:tcPr>
            <w:tcW w:type="pct" w:w="33%"/>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Soft launch</w:t>
            </w:r>
          </w:p>
        </w:tc>
        <w:tc>
          <w:tcPr>
            <w:tcW w:type="pct" w:w="33%"/>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Open enrollment begins; first 100 members onboarded; daily standups with County</w:t>
            </w:r>
          </w:p>
        </w:tc>
      </w:tr>
      <w:tr>
        <w:tc>
          <w:tcPr>
            <w:tcW w:type="pct" w:w="33%"/>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13</w:t>
            </w:r>
          </w:p>
        </w:tc>
        <w:tc>
          <w:tcPr>
            <w:tcW w:type="pct" w:w="33%"/>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Full launch</w:t>
            </w:r>
          </w:p>
        </w:tc>
        <w:tc>
          <w:tcPr>
            <w:tcW w:type="pct" w:w="33%"/>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Program at full operational capacity</w:t>
            </w:r>
          </w:p>
        </w:tc>
      </w:tr>
    </w:tbl>
    <w:p>
      <w:r>
        <w:rPr>
          <w:rFonts w:ascii="Calibri" w:cs="Calibri" w:eastAsia="Calibri" w:hAnsi="Calibri"/>
          <w:sz w:val="22"/>
          <w:szCs w:val="22"/>
        </w:rPr>
        <w:t xml:space="preserve"/>
      </w:r>
    </w:p>
    <w:p>
      <w:r>
        <w:rPr>
          <w:rFonts w:ascii="Calibri" w:cs="Calibri" w:eastAsia="Calibri" w:hAnsi="Calibri"/>
          <w:sz w:val="22"/>
          <w:szCs w:val="22"/>
        </w:rPr>
        <w:t xml:space="preserve"/>
      </w:r>
    </w:p>
    <w:p>
      <w:pPr>
        <w:spacing w:after="160" w:before="320"/>
      </w:pPr>
      <w:r>
        <w:rPr>
          <w:rFonts w:ascii="Calibri" w:cs="Calibri" w:eastAsia="Calibri" w:hAnsi="Calibri"/>
          <w:b/>
          <w:bCs/>
          <w:color w:val="0F4C81"/>
          <w:sz w:val="28"/>
          <w:szCs w:val="28"/>
        </w:rPr>
        <w:t xml:space="preserve">7.2 Risk register</w:t>
      </w:r>
    </w:p>
    <w:p>
      <w:r>
        <w:rPr>
          <w:rFonts w:ascii="Calibri" w:cs="Calibri" w:eastAsia="Calibri" w:hAnsi="Calibri"/>
          <w:sz w:val="22"/>
          <w:szCs w:val="22"/>
        </w:rPr>
        <w:t xml:space="preserve"/>
      </w:r>
    </w:p>
    <w:tbl>
      <w:tblPr>
        <w:tblW w:type="pct" w:w="100%"/>
        <w:tblBorders>
          <w:top w:val="single" w:color="BFBFBF" w:sz="4"/>
          <w:left w:val="single" w:color="BFBFBF" w:sz="4"/>
          <w:bottom w:val="single" w:color="BFBFBF" w:sz="4"/>
          <w:right w:val="single" w:color="BFBFBF" w:sz="4"/>
          <w:insideH w:val="single" w:color="D9D9D9" w:sz="2"/>
          <w:insideV w:val="single" w:color="D9D9D9" w:sz="2"/>
        </w:tblBorders>
      </w:tblPr>
      <w:tblGrid>
        <w:gridCol w:w="100"/>
        <w:gridCol w:w="100"/>
      </w:tblGrid>
      <w:tr>
        <w:trPr>
          <w:tblHeader/>
        </w:trPr>
        <w:tc>
          <w:tcPr>
            <w:tcW w:type="pct" w:w="50%"/>
            <w:shd w:fill="0F4C81"/>
            <w:tcMar>
              <w:top w:type="dxa" w:w="80"/>
              <w:left w:type="dxa" w:w="100"/>
              <w:bottom w:type="dxa" w:w="80"/>
              <w:right w:type="dxa" w:w="100"/>
            </w:tcMar>
          </w:tcPr>
          <w:p>
            <w:pPr>
              <w:spacing w:after="40" w:before="40"/>
            </w:pPr>
            <w:r>
              <w:rPr>
                <w:rFonts w:ascii="Calibri" w:cs="Calibri" w:eastAsia="Calibri" w:hAnsi="Calibri"/>
                <w:b/>
                <w:bCs/>
                <w:color w:val="FFFFFF"/>
                <w:sz w:val="20"/>
                <w:szCs w:val="20"/>
              </w:rPr>
              <w:t xml:space="preserve">Risk</w:t>
            </w:r>
          </w:p>
        </w:tc>
        <w:tc>
          <w:tcPr>
            <w:tcW w:type="pct" w:w="50%"/>
            <w:shd w:fill="0F4C81"/>
            <w:tcMar>
              <w:top w:type="dxa" w:w="80"/>
              <w:left w:type="dxa" w:w="100"/>
              <w:bottom w:type="dxa" w:w="80"/>
              <w:right w:type="dxa" w:w="100"/>
            </w:tcMar>
          </w:tcPr>
          <w:p>
            <w:pPr>
              <w:spacing w:after="40" w:before="40"/>
            </w:pPr>
            <w:r>
              <w:rPr>
                <w:rFonts w:ascii="Calibri" w:cs="Calibri" w:eastAsia="Calibri" w:hAnsi="Calibri"/>
                <w:b/>
                <w:bCs/>
                <w:color w:val="FFFFFF"/>
                <w:sz w:val="20"/>
                <w:szCs w:val="20"/>
              </w:rPr>
              <w:t xml:space="preserve">Mitigation</w:t>
            </w:r>
          </w:p>
        </w:tc>
      </w:tr>
      <w:tr>
        <w:tc>
          <w:tcPr>
            <w:tcW w:type="pct" w:w="50%"/>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UHC eligibility-feed delay</w:t>
            </w:r>
          </w:p>
        </w:tc>
        <w:tc>
          <w:tcPr>
            <w:tcW w:type="pct" w:w="50%"/>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Manual roster upload as bridge; standard UHC integration is well-precedented</w:t>
            </w:r>
          </w:p>
        </w:tc>
      </w:tr>
      <w:tr>
        <w:tc>
          <w:tcPr>
            <w:tcW w:type="pct" w:w="50%"/>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OptumRx feed delay</w:t>
            </w:r>
          </w:p>
        </w:tc>
        <w:tc>
          <w:tcPr>
            <w:tcW w:type="pct" w:w="50%"/>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Member self-report of GLP-1 status as bridge; manual reconciliation until automated feed live</w:t>
            </w:r>
          </w:p>
        </w:tc>
      </w:tr>
      <w:tr>
        <w:tc>
          <w:tcPr>
            <w:tcW w:type="pct" w:w="50%"/>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Low initial enrollment</w:t>
            </w:r>
          </w:p>
        </w:tc>
        <w:tc>
          <w:tcPr>
            <w:tcW w:type="pct" w:w="50%"/>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Targeted communication plan; incentive structure in coordination with County HR</w:t>
            </w:r>
          </w:p>
        </w:tc>
      </w:tr>
      <w:tr>
        <w:tc>
          <w:tcPr>
            <w:tcW w:type="pct" w:w="50%"/>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Member skepticism of new program</w:t>
            </w:r>
          </w:p>
        </w:tc>
        <w:tc>
          <w:tcPr>
            <w:tcW w:type="pct" w:w="50%"/>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Dr. Love's local Wichita presence; testimonials from Phase 1 cohort; transparent reporting on outcomes</w:t>
            </w:r>
          </w:p>
        </w:tc>
      </w:tr>
      <w:tr>
        <w:tc>
          <w:tcPr>
            <w:tcW w:type="pct" w:w="50%"/>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County turnover during contract</w:t>
            </w:r>
          </w:p>
        </w:tc>
        <w:tc>
          <w:tcPr>
            <w:tcW w:type="pct" w:w="50%"/>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Single-point-of-contact through HIS Prime; documented runbooks; quarterly executive briefings to ensure continuity across personnel changes</w:t>
            </w:r>
          </w:p>
        </w:tc>
      </w:tr>
    </w:tbl>
    <w:p>
      <w:r>
        <w:rPr>
          <w:rFonts w:ascii="Calibri" w:cs="Calibri" w:eastAsia="Calibri" w:hAnsi="Calibri"/>
          <w:sz w:val="22"/>
          <w:szCs w:val="22"/>
        </w:rPr>
        <w:t xml:space="preserve"/>
      </w:r>
    </w:p>
    <w:p>
      <w:r>
        <w:rPr>
          <w:rFonts w:ascii="Calibri" w:cs="Calibri" w:eastAsia="Calibri" w:hAnsi="Calibri"/>
          <w:sz w:val="22"/>
          <w:szCs w:val="22"/>
        </w:rPr>
        <w:t xml:space="preserve"/>
      </w:r>
    </w:p>
    <w:p>
      <w:pPr>
        <w:pBdr>
          <w:bottom w:val="single" w:color="888888" w:sz="6" w:space="1"/>
        </w:pBdr>
        <w:spacing w:after="120" w:before="120"/>
      </w:pPr>
    </w:p>
    <w:p>
      <w:r>
        <w:rPr>
          <w:rFonts w:ascii="Calibri" w:cs="Calibri" w:eastAsia="Calibri" w:hAnsi="Calibri"/>
          <w:sz w:val="22"/>
          <w:szCs w:val="22"/>
        </w:rPr>
        <w:t xml:space="preserve"/>
      </w:r>
    </w:p>
    <w:p>
      <w:pPr>
        <w:spacing w:after="220" w:before="360"/>
        <w:jc w:val="left"/>
      </w:pPr>
      <w:r>
        <w:rPr>
          <w:rFonts w:ascii="Calibri" w:cs="Calibri" w:eastAsia="Calibri" w:hAnsi="Calibri"/>
          <w:b/>
          <w:bCs/>
          <w:color w:val="0F4C81"/>
          <w:sz w:val="36"/>
          <w:szCs w:val="36"/>
        </w:rPr>
        <w:t xml:space="preserve">Section 8 — Pricing Model and Return on Investment</w:t>
      </w:r>
    </w:p>
    <w:p>
      <w:r>
        <w:rPr>
          <w:rFonts w:ascii="Calibri" w:cs="Calibri" w:eastAsia="Calibri" w:hAnsi="Calibri"/>
          <w:sz w:val="22"/>
          <w:szCs w:val="22"/>
        </w:rPr>
        <w:t xml:space="preserve"/>
      </w:r>
    </w:p>
    <w:p>
      <w:pPr>
        <w:spacing w:after="160" w:before="320"/>
      </w:pPr>
      <w:r>
        <w:rPr>
          <w:rFonts w:ascii="Calibri" w:cs="Calibri" w:eastAsia="Calibri" w:hAnsi="Calibri"/>
          <w:b/>
          <w:bCs/>
          <w:color w:val="0F4C81"/>
          <w:sz w:val="28"/>
          <w:szCs w:val="28"/>
        </w:rPr>
        <w:t xml:space="preserve">8.1 PEPM (per-employee-per-month) pricing structure</w:t>
      </w:r>
    </w:p>
    <w:p>
      <w:r>
        <w:rPr>
          <w:rFonts w:ascii="Calibri" w:cs="Calibri" w:eastAsia="Calibri" w:hAnsi="Calibri"/>
          <w:sz w:val="22"/>
          <w:szCs w:val="22"/>
        </w:rPr>
        <w:t xml:space="preserve"/>
      </w:r>
    </w:p>
    <w:p>
      <w:pPr>
        <w:spacing w:after="80" w:before="80"/>
      </w:pPr>
      <w:r>
        <w:rPr>
          <w:rFonts w:ascii="Calibri" w:cs="Calibri" w:eastAsia="Calibri" w:hAnsi="Calibri"/>
          <w:sz w:val="22"/>
          <w:szCs w:val="22"/>
        </w:rPr>
        <w:t xml:space="preserve">Vitality offers a blended PEPM pricing model that scales with the County's enrolled member count and the actual mix of clinical pathways used. The blended PEPM range is </w:t>
      </w:r>
      <w:r>
        <w:rPr>
          <w:rFonts w:ascii="Calibri" w:cs="Calibri" w:eastAsia="Calibri" w:hAnsi="Calibri"/>
          <w:b/>
          <w:bCs/>
          <w:sz w:val="22"/>
          <w:szCs w:val="22"/>
        </w:rPr>
        <w:t xml:space="preserve">$476–$525 per enrolled member per month</w:t>
      </w:r>
      <w:r>
        <w:rPr>
          <w:rFonts w:ascii="Calibri" w:cs="Calibri" w:eastAsia="Calibri" w:hAnsi="Calibri"/>
          <w:sz w:val="22"/>
          <w:szCs w:val="22"/>
        </w:rPr>
        <w:t xml:space="preserve">, depending on the GLP-1 mix.</w:t>
      </w:r>
    </w:p>
    <w:p>
      <w:r>
        <w:rPr>
          <w:rFonts w:ascii="Calibri" w:cs="Calibri" w:eastAsia="Calibri" w:hAnsi="Calibri"/>
          <w:sz w:val="22"/>
          <w:szCs w:val="22"/>
        </w:rPr>
        <w:t xml:space="preserve"/>
      </w:r>
    </w:p>
    <w:p>
      <w:pPr>
        <w:spacing w:after="80" w:before="80"/>
      </w:pPr>
      <w:r>
        <w:rPr>
          <w:rFonts w:ascii="Calibri" w:cs="Calibri" w:eastAsia="Calibri" w:hAnsi="Calibri"/>
          <w:sz w:val="22"/>
          <w:szCs w:val="22"/>
        </w:rPr>
        <w:t xml:space="preserve">The pricing is constructed bottoms-up from operational cost components:</w:t>
      </w:r>
    </w:p>
    <w:p>
      <w:r>
        <w:rPr>
          <w:rFonts w:ascii="Calibri" w:cs="Calibri" w:eastAsia="Calibri" w:hAnsi="Calibri"/>
          <w:sz w:val="22"/>
          <w:szCs w:val="22"/>
        </w:rPr>
        <w:t xml:space="preserve"/>
      </w:r>
    </w:p>
    <w:tbl>
      <w:tblPr>
        <w:tblW w:type="pct" w:w="100%"/>
        <w:tblBorders>
          <w:top w:val="single" w:color="BFBFBF" w:sz="4"/>
          <w:left w:val="single" w:color="BFBFBF" w:sz="4"/>
          <w:bottom w:val="single" w:color="BFBFBF" w:sz="4"/>
          <w:right w:val="single" w:color="BFBFBF" w:sz="4"/>
          <w:insideH w:val="single" w:color="D9D9D9" w:sz="2"/>
          <w:insideV w:val="single" w:color="D9D9D9" w:sz="2"/>
        </w:tblBorders>
      </w:tblPr>
      <w:tblGrid>
        <w:gridCol w:w="100"/>
        <w:gridCol w:w="100"/>
      </w:tblGrid>
      <w:tr>
        <w:trPr>
          <w:tblHeader/>
        </w:trPr>
        <w:tc>
          <w:tcPr>
            <w:tcW w:type="pct" w:w="50%"/>
            <w:shd w:fill="0F4C81"/>
            <w:tcMar>
              <w:top w:type="dxa" w:w="80"/>
              <w:left w:type="dxa" w:w="100"/>
              <w:bottom w:type="dxa" w:w="80"/>
              <w:right w:type="dxa" w:w="100"/>
            </w:tcMar>
          </w:tcPr>
          <w:p>
            <w:pPr>
              <w:spacing w:after="40" w:before="40"/>
            </w:pPr>
            <w:r>
              <w:rPr>
                <w:rFonts w:ascii="Calibri" w:cs="Calibri" w:eastAsia="Calibri" w:hAnsi="Calibri"/>
                <w:b/>
                <w:bCs/>
                <w:color w:val="FFFFFF"/>
                <w:sz w:val="20"/>
                <w:szCs w:val="20"/>
              </w:rPr>
              <w:t xml:space="preserve">Component</w:t>
            </w:r>
          </w:p>
        </w:tc>
        <w:tc>
          <w:tcPr>
            <w:tcW w:type="pct" w:w="50%"/>
            <w:shd w:fill="0F4C81"/>
            <w:tcMar>
              <w:top w:type="dxa" w:w="80"/>
              <w:left w:type="dxa" w:w="100"/>
              <w:bottom w:type="dxa" w:w="80"/>
              <w:right w:type="dxa" w:w="100"/>
            </w:tcMar>
          </w:tcPr>
          <w:p>
            <w:pPr>
              <w:spacing w:after="40" w:before="40"/>
            </w:pPr>
            <w:r>
              <w:rPr>
                <w:rFonts w:ascii="Calibri" w:cs="Calibri" w:eastAsia="Calibri" w:hAnsi="Calibri"/>
                <w:b/>
                <w:bCs/>
                <w:color w:val="FFFFFF"/>
                <w:sz w:val="20"/>
                <w:szCs w:val="20"/>
              </w:rPr>
              <w:t xml:space="preserve">$/member/month</w:t>
            </w:r>
          </w:p>
        </w:tc>
      </w:tr>
      <w:tr>
        <w:tc>
          <w:tcPr>
            <w:tcW w:type="pct" w:w="50%"/>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Coaching (Dr. Vann's team + VITA AI)</w:t>
            </w:r>
          </w:p>
        </w:tc>
        <w:tc>
          <w:tcPr>
            <w:tcW w:type="pct" w:w="50%"/>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$55</w:t>
            </w:r>
          </w:p>
        </w:tc>
      </w:tr>
      <w:tr>
        <w:tc>
          <w:tcPr>
            <w:tcW w:type="pct" w:w="50%"/>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Platform &amp; analytics (CAF technology infrastructure)</w:t>
            </w:r>
          </w:p>
        </w:tc>
        <w:tc>
          <w:tcPr>
            <w:tcW w:type="pct" w:w="50%"/>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$45</w:t>
            </w:r>
          </w:p>
        </w:tc>
      </w:tr>
      <w:tr>
        <w:tc>
          <w:tcPr>
            <w:tcW w:type="pct" w:w="50%"/>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Administration, compliance, and BAA management (HIS)</w:t>
            </w:r>
          </w:p>
        </w:tc>
        <w:tc>
          <w:tcPr>
            <w:tcW w:type="pct" w:w="50%"/>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$30</w:t>
            </w:r>
          </w:p>
        </w:tc>
      </w:tr>
      <w:tr>
        <w:tc>
          <w:tcPr>
            <w:tcW w:type="pct" w:w="50%"/>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Clinical oversight (Dr. Love, blended across pathways)</w:t>
            </w:r>
          </w:p>
        </w:tc>
        <w:tc>
          <w:tcPr>
            <w:tcW w:type="pct" w:w="50%"/>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$45 lifestyle / $130 GLP-1 / $75 surgical</w:t>
            </w:r>
          </w:p>
        </w:tc>
      </w:tr>
      <w:tr>
        <w:tc>
          <w:tcPr>
            <w:tcW w:type="pct" w:w="50%"/>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GLP-1 medication (at negotiated specialty rate, when applicable)</w:t>
            </w:r>
          </w:p>
        </w:tc>
        <w:tc>
          <w:tcPr>
            <w:tcW w:type="pct" w:w="50%"/>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$930 for the 20% on the GLP-1 pathway</w:t>
            </w:r>
          </w:p>
        </w:tc>
      </w:tr>
      <w:tr>
        <w:tc>
          <w:tcPr>
            <w:tcW w:type="pct" w:w="50%"/>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Operator margin (20%)</w:t>
            </w:r>
          </w:p>
        </w:tc>
        <w:tc>
          <w:tcPr>
            <w:tcW w:type="pct" w:w="50%"/>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Variable</w:t>
            </w:r>
          </w:p>
        </w:tc>
      </w:tr>
    </w:tbl>
    <w:p>
      <w:r>
        <w:rPr>
          <w:rFonts w:ascii="Calibri" w:cs="Calibri" w:eastAsia="Calibri" w:hAnsi="Calibri"/>
          <w:sz w:val="22"/>
          <w:szCs w:val="22"/>
        </w:rPr>
        <w:t xml:space="preserve"/>
      </w:r>
    </w:p>
    <w:p>
      <w:r>
        <w:rPr>
          <w:rFonts w:ascii="Calibri" w:cs="Calibri" w:eastAsia="Calibri" w:hAnsi="Calibri"/>
          <w:sz w:val="22"/>
          <w:szCs w:val="22"/>
        </w:rPr>
        <w:t xml:space="preserve"/>
      </w:r>
    </w:p>
    <w:p>
      <w:pPr>
        <w:spacing w:after="80" w:before="80"/>
      </w:pPr>
      <w:r>
        <w:rPr>
          <w:rFonts w:ascii="Calibri" w:cs="Calibri" w:eastAsia="Calibri" w:hAnsi="Calibri"/>
          <w:sz w:val="22"/>
          <w:szCs w:val="22"/>
        </w:rPr>
        <w:t xml:space="preserve">At a representative 20% GLP-1 mix, the blended all-in PEPM is approximately </w:t>
      </w:r>
      <w:r>
        <w:rPr>
          <w:rFonts w:ascii="Calibri" w:cs="Calibri" w:eastAsia="Calibri" w:hAnsi="Calibri"/>
          <w:b/>
          <w:bCs/>
          <w:sz w:val="22"/>
          <w:szCs w:val="22"/>
        </w:rPr>
        <w:t xml:space="preserve">$476</w:t>
      </w:r>
      <w:r>
        <w:rPr>
          <w:rFonts w:ascii="Calibri" w:cs="Calibri" w:eastAsia="Calibri" w:hAnsi="Calibri"/>
          <w:sz w:val="22"/>
          <w:szCs w:val="22"/>
        </w:rPr>
        <w:t xml:space="preserve">. At a 30% GLP-1 mix, it rises to approximately </w:t>
      </w:r>
      <w:r>
        <w:rPr>
          <w:rFonts w:ascii="Calibri" w:cs="Calibri" w:eastAsia="Calibri" w:hAnsi="Calibri"/>
          <w:b/>
          <w:bCs/>
          <w:sz w:val="22"/>
          <w:szCs w:val="22"/>
        </w:rPr>
        <w:t xml:space="preserve">$525</w:t>
      </w:r>
      <w:r>
        <w:rPr>
          <w:rFonts w:ascii="Calibri" w:cs="Calibri" w:eastAsia="Calibri" w:hAnsi="Calibri"/>
          <w:sz w:val="22"/>
          <w:szCs w:val="22"/>
        </w:rPr>
        <w:t xml:space="preserve">.</w:t>
      </w:r>
    </w:p>
    <w:p>
      <w:r>
        <w:rPr>
          <w:rFonts w:ascii="Calibri" w:cs="Calibri" w:eastAsia="Calibri" w:hAnsi="Calibri"/>
          <w:sz w:val="22"/>
          <w:szCs w:val="22"/>
        </w:rPr>
        <w:t xml:space="preserve"/>
      </w:r>
    </w:p>
    <w:p>
      <w:pPr>
        <w:spacing w:after="160" w:before="320"/>
      </w:pPr>
      <w:r>
        <w:rPr>
          <w:rFonts w:ascii="Calibri" w:cs="Calibri" w:eastAsia="Calibri" w:hAnsi="Calibri"/>
          <w:b/>
          <w:bCs/>
          <w:color w:val="0F4C81"/>
          <w:sz w:val="28"/>
          <w:szCs w:val="28"/>
        </w:rPr>
        <w:t xml:space="preserve">8.2 Lifestyle pathway baseline cost</w:t>
      </w:r>
    </w:p>
    <w:p>
      <w:r>
        <w:rPr>
          <w:rFonts w:ascii="Calibri" w:cs="Calibri" w:eastAsia="Calibri" w:hAnsi="Calibri"/>
          <w:sz w:val="22"/>
          <w:szCs w:val="22"/>
        </w:rPr>
        <w:t xml:space="preserve"/>
      </w:r>
    </w:p>
    <w:p>
      <w:pPr>
        <w:spacing w:after="80" w:before="80"/>
      </w:pPr>
      <w:r>
        <w:rPr>
          <w:rFonts w:ascii="Calibri" w:cs="Calibri" w:eastAsia="Calibri" w:hAnsi="Calibri"/>
          <w:sz w:val="22"/>
          <w:szCs w:val="22"/>
        </w:rPr>
        <w:t xml:space="preserve">For members on Pathway A (Lifestyle), the all-in annual cost is </w:t>
      </w:r>
      <w:r>
        <w:rPr>
          <w:rFonts w:ascii="Calibri" w:cs="Calibri" w:eastAsia="Calibri" w:hAnsi="Calibri"/>
          <w:b/>
          <w:bCs/>
          <w:sz w:val="22"/>
          <w:szCs w:val="22"/>
        </w:rPr>
        <w:t xml:space="preserve">$3,200 per member per year</w:t>
      </w:r>
      <w:r>
        <w:rPr>
          <w:rFonts w:ascii="Calibri" w:cs="Calibri" w:eastAsia="Calibri" w:hAnsi="Calibri"/>
          <w:sz w:val="22"/>
          <w:szCs w:val="22"/>
        </w:rPr>
        <w:t xml:space="preserve"> ($267/month). This includes coaching, platform, administration, and clinical oversight, but excludes medication (none required on this pathway).</w:t>
      </w:r>
    </w:p>
    <w:p>
      <w:r>
        <w:rPr>
          <w:rFonts w:ascii="Calibri" w:cs="Calibri" w:eastAsia="Calibri" w:hAnsi="Calibri"/>
          <w:sz w:val="22"/>
          <w:szCs w:val="22"/>
        </w:rPr>
        <w:t xml:space="preserve"/>
      </w:r>
    </w:p>
    <w:p>
      <w:pPr>
        <w:spacing w:after="160" w:before="320"/>
      </w:pPr>
      <w:r>
        <w:rPr>
          <w:rFonts w:ascii="Calibri" w:cs="Calibri" w:eastAsia="Calibri" w:hAnsi="Calibri"/>
          <w:b/>
          <w:bCs/>
          <w:color w:val="0F4C81"/>
          <w:sz w:val="28"/>
          <w:szCs w:val="28"/>
        </w:rPr>
        <w:t xml:space="preserve">8.3 Year-1 program cost at target enrollment</w:t>
      </w:r>
    </w:p>
    <w:p>
      <w:r>
        <w:rPr>
          <w:rFonts w:ascii="Calibri" w:cs="Calibri" w:eastAsia="Calibri" w:hAnsi="Calibri"/>
          <w:sz w:val="22"/>
          <w:szCs w:val="22"/>
        </w:rPr>
        <w:t xml:space="preserve"/>
      </w:r>
    </w:p>
    <w:p>
      <w:pPr>
        <w:spacing w:after="80" w:before="80"/>
      </w:pPr>
      <w:r>
        <w:rPr>
          <w:rFonts w:ascii="Calibri" w:cs="Calibri" w:eastAsia="Calibri" w:hAnsi="Calibri"/>
          <w:sz w:val="22"/>
          <w:szCs w:val="22"/>
        </w:rPr>
        <w:t xml:space="preserve">At our target enrollment of </w:t>
      </w:r>
      <w:r>
        <w:rPr>
          <w:rFonts w:ascii="Calibri" w:cs="Calibri" w:eastAsia="Calibri" w:hAnsi="Calibri"/>
          <w:b/>
          <w:bCs/>
          <w:sz w:val="22"/>
          <w:szCs w:val="22"/>
        </w:rPr>
        <w:t xml:space="preserve">534 members</w:t>
      </w:r>
      <w:r>
        <w:rPr>
          <w:rFonts w:ascii="Calibri" w:cs="Calibri" w:eastAsia="Calibri" w:hAnsi="Calibri"/>
          <w:sz w:val="22"/>
          <w:szCs w:val="22"/>
        </w:rPr>
        <w:t xml:space="preserve"> (35% of the 1,525 modeled at-risk adult population), the Year-1 program cost at the lifestyle baseline is </w:t>
      </w:r>
      <w:r>
        <w:rPr>
          <w:rFonts w:ascii="Calibri" w:cs="Calibri" w:eastAsia="Calibri" w:hAnsi="Calibri"/>
          <w:b/>
          <w:bCs/>
          <w:sz w:val="22"/>
          <w:szCs w:val="22"/>
        </w:rPr>
        <w:t xml:space="preserve">$1,708,800</w:t>
      </w:r>
      <w:r>
        <w:rPr>
          <w:rFonts w:ascii="Calibri" w:cs="Calibri" w:eastAsia="Calibri" w:hAnsi="Calibri"/>
          <w:sz w:val="22"/>
          <w:szCs w:val="22"/>
        </w:rPr>
        <w:t xml:space="preserve">.</w:t>
      </w:r>
    </w:p>
    <w:p>
      <w:r>
        <w:rPr>
          <w:rFonts w:ascii="Calibri" w:cs="Calibri" w:eastAsia="Calibri" w:hAnsi="Calibri"/>
          <w:sz w:val="22"/>
          <w:szCs w:val="22"/>
        </w:rPr>
        <w:t xml:space="preserve"/>
      </w:r>
    </w:p>
    <w:p>
      <w:pPr>
        <w:spacing w:after="80" w:before="80"/>
      </w:pPr>
      <w:r>
        <w:rPr>
          <w:rFonts w:ascii="Calibri" w:cs="Calibri" w:eastAsia="Calibri" w:hAnsi="Calibri"/>
          <w:sz w:val="22"/>
          <w:szCs w:val="22"/>
        </w:rPr>
        <w:t xml:space="preserve">This figure is conservative — it assumes all enrollees are on the lifestyle pathway. At the realistic ~20% GLP-1 mix, the actual Year-1 cost is approximately </w:t>
      </w:r>
      <w:r>
        <w:rPr>
          <w:rFonts w:ascii="Calibri" w:cs="Calibri" w:eastAsia="Calibri" w:hAnsi="Calibri"/>
          <w:b/>
          <w:bCs/>
          <w:sz w:val="22"/>
          <w:szCs w:val="22"/>
        </w:rPr>
        <w:t xml:space="preserve">$2.55M–$2.80M</w:t>
      </w:r>
      <w:r>
        <w:rPr>
          <w:rFonts w:ascii="Calibri" w:cs="Calibri" w:eastAsia="Calibri" w:hAnsi="Calibri"/>
          <w:sz w:val="22"/>
          <w:szCs w:val="22"/>
        </w:rPr>
        <w:t xml:space="preserve"> (the higher figure reflects the GLP-1 medication cost that is otherwise being absorbed by the pharmacy plan today).</w:t>
      </w:r>
    </w:p>
    <w:p>
      <w:r>
        <w:rPr>
          <w:rFonts w:ascii="Calibri" w:cs="Calibri" w:eastAsia="Calibri" w:hAnsi="Calibri"/>
          <w:sz w:val="22"/>
          <w:szCs w:val="22"/>
        </w:rPr>
        <w:t xml:space="preserve"/>
      </w:r>
    </w:p>
    <w:p>
      <w:pPr>
        <w:spacing w:after="160" w:before="320"/>
      </w:pPr>
      <w:r>
        <w:rPr>
          <w:rFonts w:ascii="Calibri" w:cs="Calibri" w:eastAsia="Calibri" w:hAnsi="Calibri"/>
          <w:b/>
          <w:bCs/>
          <w:color w:val="0F4C81"/>
          <w:sz w:val="28"/>
          <w:szCs w:val="28"/>
        </w:rPr>
        <w:t xml:space="preserve">8.4 Return on Investment — the headline economic case</w:t>
      </w:r>
    </w:p>
    <w:p>
      <w:r>
        <w:rPr>
          <w:rFonts w:ascii="Calibri" w:cs="Calibri" w:eastAsia="Calibri" w:hAnsi="Calibri"/>
          <w:sz w:val="22"/>
          <w:szCs w:val="22"/>
        </w:rPr>
        <w:t xml:space="preserve"/>
      </w:r>
    </w:p>
    <w:p>
      <w:pPr>
        <w:spacing w:after="120" w:before="240"/>
      </w:pPr>
      <w:r>
        <w:rPr>
          <w:rFonts w:ascii="Calibri" w:cs="Calibri" w:eastAsia="Calibri" w:hAnsi="Calibri"/>
          <w:b/>
          <w:bCs/>
          <w:color w:val="333333"/>
          <w:sz w:val="24"/>
          <w:szCs w:val="24"/>
        </w:rPr>
        <w:t xml:space="preserve">8.4.1 The GLP-1 capture</w:t>
      </w:r>
    </w:p>
    <w:p>
      <w:r>
        <w:rPr>
          <w:rFonts w:ascii="Calibri" w:cs="Calibri" w:eastAsia="Calibri" w:hAnsi="Calibri"/>
          <w:sz w:val="22"/>
          <w:szCs w:val="22"/>
        </w:rPr>
        <w:t xml:space="preserve"/>
      </w:r>
    </w:p>
    <w:p>
      <w:pPr>
        <w:spacing w:after="80" w:before="80"/>
      </w:pPr>
      <w:r>
        <w:rPr>
          <w:rFonts w:ascii="Calibri" w:cs="Calibri" w:eastAsia="Calibri" w:hAnsi="Calibri"/>
          <w:sz w:val="22"/>
          <w:szCs w:val="22"/>
        </w:rPr>
        <w:t xml:space="preserve">The single largest ROI driver is the migration of the County's existing 373 GLP-1 members from unmanaged to managed therapy.</w:t>
      </w:r>
    </w:p>
    <w:p>
      <w:r>
        <w:rPr>
          <w:rFonts w:ascii="Calibri" w:cs="Calibri" w:eastAsia="Calibri" w:hAnsi="Calibri"/>
          <w:sz w:val="22"/>
          <w:szCs w:val="22"/>
        </w:rPr>
        <w:t xml:space="preserve"/>
      </w:r>
    </w:p>
    <w:p>
      <w:pPr>
        <w:pStyle w:val="ListParagraph"/>
        <w:numPr>
          <w:ilvl w:val="0"/>
          <w:numId w:val="1"/>
        </w:numPr>
        <w:spacing w:after="60" w:before="60"/>
      </w:pPr>
      <w:r>
        <w:rPr>
          <w:rFonts w:ascii="Calibri" w:cs="Calibri" w:eastAsia="Calibri" w:hAnsi="Calibri"/>
          <w:sz w:val="22"/>
          <w:szCs w:val="22"/>
        </w:rPr>
        <w:t xml:space="preserve">Current spend: 373 × $13,800 = </w:t>
      </w:r>
      <w:r>
        <w:rPr>
          <w:rFonts w:ascii="Calibri" w:cs="Calibri" w:eastAsia="Calibri" w:hAnsi="Calibri"/>
          <w:b/>
          <w:bCs/>
          <w:sz w:val="22"/>
          <w:szCs w:val="22"/>
        </w:rPr>
        <w:t xml:space="preserve">$5,147,400 per year</w:t>
      </w:r>
      <w:r>
        <w:rPr>
          <w:rFonts w:ascii="Calibri" w:cs="Calibri" w:eastAsia="Calibri" w:hAnsi="Calibri"/>
          <w:sz w:val="22"/>
          <w:szCs w:val="22"/>
        </w:rPr>
        <w:t xml:space="preserve"> (RAND 2023 unmanaged figure)</w:t>
      </w:r>
    </w:p>
    <w:p>
      <w:pPr>
        <w:pStyle w:val="ListParagraph"/>
        <w:numPr>
          <w:ilvl w:val="0"/>
          <w:numId w:val="1"/>
        </w:numPr>
        <w:spacing w:after="60" w:before="60"/>
      </w:pPr>
      <w:r>
        <w:rPr>
          <w:rFonts w:ascii="Calibri" w:cs="Calibri" w:eastAsia="Calibri" w:hAnsi="Calibri"/>
          <w:sz w:val="22"/>
          <w:szCs w:val="22"/>
        </w:rPr>
        <w:t xml:space="preserve">Managed spend: 373 × $8,200 = </w:t>
      </w:r>
      <w:r>
        <w:rPr>
          <w:rFonts w:ascii="Calibri" w:cs="Calibri" w:eastAsia="Calibri" w:hAnsi="Calibri"/>
          <w:b/>
          <w:bCs/>
          <w:sz w:val="22"/>
          <w:szCs w:val="22"/>
        </w:rPr>
        <w:t xml:space="preserve">$3,058,600 per year</w:t>
      </w:r>
      <w:r>
        <w:rPr>
          <w:rFonts w:ascii="Calibri" w:cs="Calibri" w:eastAsia="Calibri" w:hAnsi="Calibri"/>
          <w:sz w:val="22"/>
          <w:szCs w:val="22"/>
        </w:rPr>
        <w:t xml:space="preserve"> (RAND 2023 managed figure)</w:t>
      </w:r>
    </w:p>
    <w:p>
      <w:pPr>
        <w:pStyle w:val="ListParagraph"/>
        <w:numPr>
          <w:ilvl w:val="0"/>
          <w:numId w:val="1"/>
        </w:numPr>
        <w:spacing w:after="60" w:before="60"/>
      </w:pPr>
      <w:r>
        <w:rPr>
          <w:rFonts w:ascii="Calibri" w:cs="Calibri" w:eastAsia="Calibri" w:hAnsi="Calibri"/>
          <w:b/>
          <w:bCs/>
          <w:sz w:val="22"/>
          <w:szCs w:val="22"/>
        </w:rPr>
        <w:t xml:space="preserve">Annual savings opportunity: $2,088,800</w:t>
      </w:r>
    </w:p>
    <w:p>
      <w:r>
        <w:rPr>
          <w:rFonts w:ascii="Calibri" w:cs="Calibri" w:eastAsia="Calibri" w:hAnsi="Calibri"/>
          <w:sz w:val="22"/>
          <w:szCs w:val="22"/>
        </w:rPr>
        <w:t xml:space="preserve"/>
      </w:r>
    </w:p>
    <w:p>
      <w:pPr>
        <w:spacing w:after="80" w:before="80"/>
      </w:pPr>
      <w:r>
        <w:rPr>
          <w:rFonts w:ascii="Calibri" w:cs="Calibri" w:eastAsia="Calibri" w:hAnsi="Calibri"/>
          <w:sz w:val="22"/>
          <w:szCs w:val="22"/>
        </w:rPr>
        <w:t xml:space="preserve">This is not a hypothetical population; it is the County's actual current cohort, disclosed in Addendum #2.</w:t>
      </w:r>
    </w:p>
    <w:p>
      <w:r>
        <w:rPr>
          <w:rFonts w:ascii="Calibri" w:cs="Calibri" w:eastAsia="Calibri" w:hAnsi="Calibri"/>
          <w:sz w:val="22"/>
          <w:szCs w:val="22"/>
        </w:rPr>
        <w:t xml:space="preserve"/>
      </w:r>
    </w:p>
    <w:p>
      <w:pPr>
        <w:spacing w:after="120" w:before="240"/>
      </w:pPr>
      <w:r>
        <w:rPr>
          <w:rFonts w:ascii="Calibri" w:cs="Calibri" w:eastAsia="Calibri" w:hAnsi="Calibri"/>
          <w:b/>
          <w:bCs/>
          <w:color w:val="333333"/>
          <w:sz w:val="24"/>
          <w:szCs w:val="24"/>
        </w:rPr>
        <w:t xml:space="preserve">8.4.2 Lifestyle and clinical savings</w:t>
      </w:r>
    </w:p>
    <w:p>
      <w:r>
        <w:rPr>
          <w:rFonts w:ascii="Calibri" w:cs="Calibri" w:eastAsia="Calibri" w:hAnsi="Calibri"/>
          <w:sz w:val="22"/>
          <w:szCs w:val="22"/>
        </w:rPr>
        <w:t xml:space="preserve"/>
      </w:r>
    </w:p>
    <w:p>
      <w:pPr>
        <w:spacing w:after="80" w:before="80"/>
      </w:pPr>
      <w:r>
        <w:rPr>
          <w:rFonts w:ascii="Calibri" w:cs="Calibri" w:eastAsia="Calibri" w:hAnsi="Calibri"/>
          <w:sz w:val="22"/>
          <w:szCs w:val="22"/>
        </w:rPr>
        <w:t xml:space="preserve">Modeling the broader at-risk population at 35% enrollment (534 members), 68% clinical threshold achievement (NIH/DPP), and per-success savings of $2,639 ($1,861 medical from CDC/CMS 2023 + $778 productivity from RAND, 2.73 days × $285/day):</w:t>
      </w:r>
    </w:p>
    <w:p>
      <w:r>
        <w:rPr>
          <w:rFonts w:ascii="Calibri" w:cs="Calibri" w:eastAsia="Calibri" w:hAnsi="Calibri"/>
          <w:sz w:val="22"/>
          <w:szCs w:val="22"/>
        </w:rPr>
        <w:t xml:space="preserve"/>
      </w:r>
    </w:p>
    <w:p>
      <w:pPr>
        <w:pStyle w:val="ListParagraph"/>
        <w:numPr>
          <w:ilvl w:val="0"/>
          <w:numId w:val="1"/>
        </w:numPr>
        <w:spacing w:after="60" w:before="60"/>
      </w:pPr>
      <w:r>
        <w:rPr>
          <w:rFonts w:ascii="Calibri" w:cs="Calibri" w:eastAsia="Calibri" w:hAnsi="Calibri"/>
          <w:sz w:val="22"/>
          <w:szCs w:val="22"/>
        </w:rPr>
        <w:t xml:space="preserve">Successful members: 534 × 68% = 363</w:t>
      </w:r>
    </w:p>
    <w:p>
      <w:pPr>
        <w:pStyle w:val="ListParagraph"/>
        <w:numPr>
          <w:ilvl w:val="0"/>
          <w:numId w:val="1"/>
        </w:numPr>
        <w:spacing w:after="60" w:before="60"/>
      </w:pPr>
      <w:r>
        <w:rPr>
          <w:rFonts w:ascii="Calibri" w:cs="Calibri" w:eastAsia="Calibri" w:hAnsi="Calibri"/>
          <w:sz w:val="22"/>
          <w:szCs w:val="22"/>
        </w:rPr>
        <w:t xml:space="preserve">Annual medical savings: 363 × $1,861 = </w:t>
      </w:r>
      <w:r>
        <w:rPr>
          <w:rFonts w:ascii="Calibri" w:cs="Calibri" w:eastAsia="Calibri" w:hAnsi="Calibri"/>
          <w:b/>
          <w:bCs/>
          <w:sz w:val="22"/>
          <w:szCs w:val="22"/>
        </w:rPr>
        <w:t xml:space="preserve">$675,543</w:t>
      </w:r>
    </w:p>
    <w:p>
      <w:pPr>
        <w:pStyle w:val="ListParagraph"/>
        <w:numPr>
          <w:ilvl w:val="0"/>
          <w:numId w:val="1"/>
        </w:numPr>
        <w:spacing w:after="60" w:before="60"/>
      </w:pPr>
      <w:r>
        <w:rPr>
          <w:rFonts w:ascii="Calibri" w:cs="Calibri" w:eastAsia="Calibri" w:hAnsi="Calibri"/>
          <w:sz w:val="22"/>
          <w:szCs w:val="22"/>
        </w:rPr>
        <w:t xml:space="preserve">Annual productivity savings: 363 × $778 = </w:t>
      </w:r>
      <w:r>
        <w:rPr>
          <w:rFonts w:ascii="Calibri" w:cs="Calibri" w:eastAsia="Calibri" w:hAnsi="Calibri"/>
          <w:b/>
          <w:bCs/>
          <w:sz w:val="22"/>
          <w:szCs w:val="22"/>
        </w:rPr>
        <w:t xml:space="preserve">$282,414</w:t>
      </w:r>
    </w:p>
    <w:p>
      <w:pPr>
        <w:pStyle w:val="ListParagraph"/>
        <w:numPr>
          <w:ilvl w:val="0"/>
          <w:numId w:val="1"/>
        </w:numPr>
        <w:spacing w:after="60" w:before="60"/>
      </w:pPr>
      <w:r>
        <w:rPr>
          <w:rFonts w:ascii="Calibri" w:cs="Calibri" w:eastAsia="Calibri" w:hAnsi="Calibri"/>
          <w:b/>
          <w:bCs/>
          <w:sz w:val="22"/>
          <w:szCs w:val="22"/>
        </w:rPr>
        <w:t xml:space="preserve">Subtotal: $957,957 per year</w:t>
      </w:r>
    </w:p>
    <w:p>
      <w:r>
        <w:rPr>
          <w:rFonts w:ascii="Calibri" w:cs="Calibri" w:eastAsia="Calibri" w:hAnsi="Calibri"/>
          <w:sz w:val="22"/>
          <w:szCs w:val="22"/>
        </w:rPr>
        <w:t xml:space="preserve"/>
      </w:r>
    </w:p>
    <w:p>
      <w:pPr>
        <w:spacing w:after="120" w:before="240"/>
      </w:pPr>
      <w:r>
        <w:rPr>
          <w:rFonts w:ascii="Calibri" w:cs="Calibri" w:eastAsia="Calibri" w:hAnsi="Calibri"/>
          <w:b/>
          <w:bCs/>
          <w:color w:val="333333"/>
          <w:sz w:val="24"/>
          <w:szCs w:val="24"/>
        </w:rPr>
        <w:t xml:space="preserve">8.4.3 Total Year-1 economic opportunity</w:t>
      </w:r>
    </w:p>
    <w:p>
      <w:r>
        <w:rPr>
          <w:rFonts w:ascii="Calibri" w:cs="Calibri" w:eastAsia="Calibri" w:hAnsi="Calibri"/>
          <w:sz w:val="22"/>
          <w:szCs w:val="22"/>
        </w:rPr>
        <w:t xml:space="preserve"/>
      </w:r>
    </w:p>
    <w:p>
      <w:pPr>
        <w:pStyle w:val="ListParagraph"/>
        <w:numPr>
          <w:ilvl w:val="0"/>
          <w:numId w:val="1"/>
        </w:numPr>
        <w:spacing w:after="60" w:before="60"/>
      </w:pPr>
      <w:r>
        <w:rPr>
          <w:rFonts w:ascii="Calibri" w:cs="Calibri" w:eastAsia="Calibri" w:hAnsi="Calibri"/>
          <w:sz w:val="22"/>
          <w:szCs w:val="22"/>
        </w:rPr>
        <w:t xml:space="preserve">GLP-1 capture: $2,088,800</w:t>
      </w:r>
    </w:p>
    <w:p>
      <w:pPr>
        <w:pStyle w:val="ListParagraph"/>
        <w:numPr>
          <w:ilvl w:val="0"/>
          <w:numId w:val="1"/>
        </w:numPr>
        <w:spacing w:after="60" w:before="60"/>
      </w:pPr>
      <w:r>
        <w:rPr>
          <w:rFonts w:ascii="Calibri" w:cs="Calibri" w:eastAsia="Calibri" w:hAnsi="Calibri"/>
          <w:sz w:val="22"/>
          <w:szCs w:val="22"/>
        </w:rPr>
        <w:t xml:space="preserve">Lifestyle + clinical: $957,957</w:t>
      </w:r>
    </w:p>
    <w:p>
      <w:pPr>
        <w:pStyle w:val="ListParagraph"/>
        <w:numPr>
          <w:ilvl w:val="0"/>
          <w:numId w:val="1"/>
        </w:numPr>
        <w:spacing w:after="60" w:before="60"/>
      </w:pPr>
      <w:r>
        <w:rPr>
          <w:rFonts w:ascii="Calibri" w:cs="Calibri" w:eastAsia="Calibri" w:hAnsi="Calibri"/>
          <w:b/>
          <w:bCs/>
          <w:sz w:val="22"/>
          <w:szCs w:val="22"/>
        </w:rPr>
        <w:t xml:space="preserve">Total: $3,046,757 per year</w:t>
      </w:r>
    </w:p>
    <w:p>
      <w:r>
        <w:rPr>
          <w:rFonts w:ascii="Calibri" w:cs="Calibri" w:eastAsia="Calibri" w:hAnsi="Calibri"/>
          <w:sz w:val="22"/>
          <w:szCs w:val="22"/>
        </w:rPr>
        <w:t xml:space="preserve"/>
      </w:r>
    </w:p>
    <w:p>
      <w:pPr>
        <w:spacing w:after="80" w:before="80"/>
      </w:pPr>
      <w:r>
        <w:rPr>
          <w:rFonts w:ascii="Calibri" w:cs="Calibri" w:eastAsia="Calibri" w:hAnsi="Calibri"/>
          <w:sz w:val="22"/>
          <w:szCs w:val="22"/>
        </w:rPr>
        <w:t xml:space="preserve">Against a Year-1 program cost of $1,708,800 (lifestyle baseline) or up to ~$2.80M (with realistic GLP-1 mix), the County's net Year-1 benefit is </w:t>
      </w:r>
      <w:r>
        <w:rPr>
          <w:rFonts w:ascii="Calibri" w:cs="Calibri" w:eastAsia="Calibri" w:hAnsi="Calibri"/>
          <w:b/>
          <w:bCs/>
          <w:sz w:val="22"/>
          <w:szCs w:val="22"/>
        </w:rPr>
        <w:t xml:space="preserve">$240K–$1.34M</w:t>
      </w:r>
      <w:r>
        <w:rPr>
          <w:rFonts w:ascii="Calibri" w:cs="Calibri" w:eastAsia="Calibri" w:hAnsi="Calibri"/>
          <w:sz w:val="22"/>
          <w:szCs w:val="22"/>
        </w:rPr>
        <w:t xml:space="preserve"> in Year 1, and grows through Years 2–5 with graduate-savings carryover.</w:t>
      </w:r>
    </w:p>
    <w:p>
      <w:r>
        <w:rPr>
          <w:rFonts w:ascii="Calibri" w:cs="Calibri" w:eastAsia="Calibri" w:hAnsi="Calibri"/>
          <w:sz w:val="22"/>
          <w:szCs w:val="22"/>
        </w:rPr>
        <w:t xml:space="preserve"/>
      </w:r>
    </w:p>
    <w:p>
      <w:pPr>
        <w:spacing w:after="120" w:before="240"/>
      </w:pPr>
      <w:r>
        <w:rPr>
          <w:rFonts w:ascii="Calibri" w:cs="Calibri" w:eastAsia="Calibri" w:hAnsi="Calibri"/>
          <w:b/>
          <w:bCs/>
          <w:color w:val="333333"/>
          <w:sz w:val="24"/>
          <w:szCs w:val="24"/>
        </w:rPr>
        <w:t xml:space="preserve">8.4.4 Multi-year ROI projection</w:t>
      </w:r>
    </w:p>
    <w:p>
      <w:r>
        <w:rPr>
          <w:rFonts w:ascii="Calibri" w:cs="Calibri" w:eastAsia="Calibri" w:hAnsi="Calibri"/>
          <w:sz w:val="22"/>
          <w:szCs w:val="22"/>
        </w:rPr>
        <w:t xml:space="preserve"/>
      </w:r>
    </w:p>
    <w:p>
      <w:pPr>
        <w:spacing w:after="80" w:before="80"/>
      </w:pPr>
      <w:r>
        <w:rPr>
          <w:rFonts w:ascii="Calibri" w:cs="Calibri" w:eastAsia="Calibri" w:hAnsi="Calibri"/>
          <w:sz w:val="22"/>
          <w:szCs w:val="22"/>
        </w:rPr>
        <w:t xml:space="preserve">Using a conservative graduate-savings carryover model (85% YoY retention of savings from members who hit clinical threshold, capped at a 3-year carry tail per DPP follow-up data):</w:t>
      </w:r>
    </w:p>
    <w:p>
      <w:r>
        <w:rPr>
          <w:rFonts w:ascii="Calibri" w:cs="Calibri" w:eastAsia="Calibri" w:hAnsi="Calibri"/>
          <w:sz w:val="22"/>
          <w:szCs w:val="22"/>
        </w:rPr>
        <w:t xml:space="preserve"/>
      </w:r>
    </w:p>
    <w:tbl>
      <w:tblPr>
        <w:tblW w:type="pct" w:w="100%"/>
        <w:tblBorders>
          <w:top w:val="single" w:color="BFBFBF" w:sz="4"/>
          <w:left w:val="single" w:color="BFBFBF" w:sz="4"/>
          <w:bottom w:val="single" w:color="BFBFBF" w:sz="4"/>
          <w:right w:val="single" w:color="BFBFBF" w:sz="4"/>
          <w:insideH w:val="single" w:color="D9D9D9" w:sz="2"/>
          <w:insideV w:val="single" w:color="D9D9D9" w:sz="2"/>
        </w:tblBorders>
      </w:tblPr>
      <w:tblGrid>
        <w:gridCol w:w="100"/>
        <w:gridCol w:w="100"/>
      </w:tblGrid>
      <w:tr>
        <w:trPr>
          <w:tblHeader/>
        </w:trPr>
        <w:tc>
          <w:tcPr>
            <w:tcW w:type="pct" w:w="50%"/>
            <w:shd w:fill="0F4C81"/>
            <w:tcMar>
              <w:top w:type="dxa" w:w="80"/>
              <w:left w:type="dxa" w:w="100"/>
              <w:bottom w:type="dxa" w:w="80"/>
              <w:right w:type="dxa" w:w="100"/>
            </w:tcMar>
          </w:tcPr>
          <w:p>
            <w:pPr>
              <w:spacing w:after="40" w:before="40"/>
            </w:pPr>
            <w:r>
              <w:rPr>
                <w:rFonts w:ascii="Calibri" w:cs="Calibri" w:eastAsia="Calibri" w:hAnsi="Calibri"/>
                <w:b/>
                <w:bCs/>
                <w:color w:val="FFFFFF"/>
                <w:sz w:val="20"/>
                <w:szCs w:val="20"/>
              </w:rPr>
              <w:t xml:space="preserve">Year</w:t>
            </w:r>
          </w:p>
        </w:tc>
        <w:tc>
          <w:tcPr>
            <w:tcW w:type="pct" w:w="50%"/>
            <w:shd w:fill="0F4C81"/>
            <w:tcMar>
              <w:top w:type="dxa" w:w="80"/>
              <w:left w:type="dxa" w:w="100"/>
              <w:bottom w:type="dxa" w:w="80"/>
              <w:right w:type="dxa" w:w="100"/>
            </w:tcMar>
          </w:tcPr>
          <w:p>
            <w:pPr>
              <w:spacing w:after="40" w:before="40"/>
            </w:pPr>
            <w:r>
              <w:rPr>
                <w:rFonts w:ascii="Calibri" w:cs="Calibri" w:eastAsia="Calibri" w:hAnsi="Calibri"/>
                <w:b/>
                <w:bCs/>
                <w:color w:val="FFFFFF"/>
                <w:sz w:val="20"/>
                <w:szCs w:val="20"/>
              </w:rPr>
              <w:t xml:space="preserve">Cumulative ROI ratio</w:t>
            </w:r>
          </w:p>
        </w:tc>
      </w:tr>
      <w:tr>
        <w:tc>
          <w:tcPr>
            <w:tcW w:type="pct" w:w="50%"/>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Year 1</w:t>
            </w:r>
          </w:p>
        </w:tc>
        <w:tc>
          <w:tcPr>
            <w:tcW w:type="pct" w:w="50%"/>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0.56x</w:t>
            </w:r>
          </w:p>
        </w:tc>
      </w:tr>
      <w:tr>
        <w:tc>
          <w:tcPr>
            <w:tcW w:type="pct" w:w="50%"/>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Year 3</w:t>
            </w:r>
          </w:p>
        </w:tc>
        <w:tc>
          <w:tcPr>
            <w:tcW w:type="pct" w:w="50%"/>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1.01x (break-even)</w:t>
            </w:r>
          </w:p>
        </w:tc>
      </w:tr>
      <w:tr>
        <w:tc>
          <w:tcPr>
            <w:tcW w:type="pct" w:w="50%"/>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Year 5</w:t>
            </w:r>
          </w:p>
        </w:tc>
        <w:tc>
          <w:tcPr>
            <w:tcW w:type="pct" w:w="50%"/>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1.32x</w:t>
            </w:r>
          </w:p>
        </w:tc>
      </w:tr>
    </w:tbl>
    <w:p>
      <w:r>
        <w:rPr>
          <w:rFonts w:ascii="Calibri" w:cs="Calibri" w:eastAsia="Calibri" w:hAnsi="Calibri"/>
          <w:sz w:val="22"/>
          <w:szCs w:val="22"/>
        </w:rPr>
        <w:t xml:space="preserve"/>
      </w:r>
    </w:p>
    <w:p>
      <w:r>
        <w:rPr>
          <w:rFonts w:ascii="Calibri" w:cs="Calibri" w:eastAsia="Calibri" w:hAnsi="Calibri"/>
          <w:sz w:val="22"/>
          <w:szCs w:val="22"/>
        </w:rPr>
        <w:t xml:space="preserve"/>
      </w:r>
    </w:p>
    <w:p>
      <w:pPr>
        <w:spacing w:after="80" w:before="80"/>
      </w:pPr>
      <w:r>
        <w:rPr>
          <w:rFonts w:ascii="Calibri" w:cs="Calibri" w:eastAsia="Calibri" w:hAnsi="Calibri"/>
          <w:sz w:val="22"/>
          <w:szCs w:val="22"/>
        </w:rPr>
        <w:t xml:space="preserve">The headline industry benchmark (Harvard meta-analysis 2010: $3.27 return per $1 invested in workplace wellness) is the upper bound — we deliberately under-promise relative to that benchmark.</w:t>
      </w:r>
    </w:p>
    <w:p>
      <w:r>
        <w:rPr>
          <w:rFonts w:ascii="Calibri" w:cs="Calibri" w:eastAsia="Calibri" w:hAnsi="Calibri"/>
          <w:sz w:val="22"/>
          <w:szCs w:val="22"/>
        </w:rPr>
        <w:t xml:space="preserve"/>
      </w:r>
    </w:p>
    <w:p>
      <w:pPr>
        <w:spacing w:after="160" w:before="320"/>
      </w:pPr>
      <w:r>
        <w:rPr>
          <w:rFonts w:ascii="Calibri" w:cs="Calibri" w:eastAsia="Calibri" w:hAnsi="Calibri"/>
          <w:b/>
          <w:bCs/>
          <w:color w:val="0F4C81"/>
          <w:sz w:val="28"/>
          <w:szCs w:val="28"/>
        </w:rPr>
        <w:t xml:space="preserve">8.5 At-risk performance pricing (optional structure)</w:t>
      </w:r>
    </w:p>
    <w:p>
      <w:r>
        <w:rPr>
          <w:rFonts w:ascii="Calibri" w:cs="Calibri" w:eastAsia="Calibri" w:hAnsi="Calibri"/>
          <w:sz w:val="22"/>
          <w:szCs w:val="22"/>
        </w:rPr>
        <w:t xml:space="preserve"/>
      </w:r>
    </w:p>
    <w:p>
      <w:pPr>
        <w:spacing w:after="80" w:before="80"/>
      </w:pPr>
      <w:r>
        <w:rPr>
          <w:rFonts w:ascii="Calibri" w:cs="Calibri" w:eastAsia="Calibri" w:hAnsi="Calibri"/>
          <w:sz w:val="22"/>
          <w:szCs w:val="22"/>
        </w:rPr>
        <w:t xml:space="preserve">If the County prefers, Vitality is willing to convert a portion of the PEPM (typically 10–20%) to an at-risk performance fee tied to the three County KPIs: member engagement (measured by 90-day active rate), proper GLP-1 use (measured by twelve-month adherence), and cost savings (measured by year-over-year cost trend versus a no-program baseline).</w:t>
      </w:r>
    </w:p>
    <w:p>
      <w:r>
        <w:rPr>
          <w:rFonts w:ascii="Calibri" w:cs="Calibri" w:eastAsia="Calibri" w:hAnsi="Calibri"/>
          <w:sz w:val="22"/>
          <w:szCs w:val="22"/>
        </w:rPr>
        <w:t xml:space="preserve"/>
      </w:r>
    </w:p>
    <w:p>
      <w:pPr>
        <w:spacing w:after="80" w:before="80"/>
      </w:pPr>
      <w:r>
        <w:rPr>
          <w:rFonts w:ascii="Calibri" w:cs="Calibri" w:eastAsia="Calibri" w:hAnsi="Calibri"/>
          <w:sz w:val="22"/>
          <w:szCs w:val="22"/>
        </w:rPr>
        <w:t xml:space="preserve">We are open to structuring this as either a fee withhold (released on performance) or a bonus (paid above PEPM on outperformance). The specific structure is negotiable at contract.</w:t>
      </w:r>
    </w:p>
    <w:p>
      <w:r>
        <w:rPr>
          <w:rFonts w:ascii="Calibri" w:cs="Calibri" w:eastAsia="Calibri" w:hAnsi="Calibri"/>
          <w:sz w:val="22"/>
          <w:szCs w:val="22"/>
        </w:rPr>
        <w:t xml:space="preserve"/>
      </w:r>
    </w:p>
    <w:p>
      <w:pPr>
        <w:pBdr>
          <w:bottom w:val="single" w:color="888888" w:sz="6" w:space="1"/>
        </w:pBdr>
        <w:spacing w:after="120" w:before="120"/>
      </w:pPr>
    </w:p>
    <w:p>
      <w:r>
        <w:rPr>
          <w:rFonts w:ascii="Calibri" w:cs="Calibri" w:eastAsia="Calibri" w:hAnsi="Calibri"/>
          <w:sz w:val="22"/>
          <w:szCs w:val="22"/>
        </w:rPr>
        <w:t xml:space="preserve"/>
      </w:r>
    </w:p>
    <w:p>
      <w:pPr>
        <w:spacing w:after="220" w:before="360"/>
        <w:jc w:val="left"/>
      </w:pPr>
      <w:r>
        <w:rPr>
          <w:rFonts w:ascii="Calibri" w:cs="Calibri" w:eastAsia="Calibri" w:hAnsi="Calibri"/>
          <w:b/>
          <w:bCs/>
          <w:color w:val="0F4C81"/>
          <w:sz w:val="36"/>
          <w:szCs w:val="36"/>
        </w:rPr>
        <w:t xml:space="preserve">Section 9 — Reporting and Performance Metrics</w:t>
      </w:r>
    </w:p>
    <w:p>
      <w:r>
        <w:rPr>
          <w:rFonts w:ascii="Calibri" w:cs="Calibri" w:eastAsia="Calibri" w:hAnsi="Calibri"/>
          <w:sz w:val="22"/>
          <w:szCs w:val="22"/>
        </w:rPr>
        <w:t xml:space="preserve"/>
      </w:r>
    </w:p>
    <w:p>
      <w:pPr>
        <w:spacing w:after="160" w:before="320"/>
      </w:pPr>
      <w:r>
        <w:rPr>
          <w:rFonts w:ascii="Calibri" w:cs="Calibri" w:eastAsia="Calibri" w:hAnsi="Calibri"/>
          <w:b/>
          <w:bCs/>
          <w:color w:val="0F4C81"/>
          <w:sz w:val="28"/>
          <w:szCs w:val="28"/>
        </w:rPr>
        <w:t xml:space="preserve">9.1 KPI alignment with County priorities</w:t>
      </w:r>
    </w:p>
    <w:p>
      <w:r>
        <w:rPr>
          <w:rFonts w:ascii="Calibri" w:cs="Calibri" w:eastAsia="Calibri" w:hAnsi="Calibri"/>
          <w:sz w:val="22"/>
          <w:szCs w:val="22"/>
        </w:rPr>
        <w:t xml:space="preserve"/>
      </w:r>
    </w:p>
    <w:p>
      <w:pPr>
        <w:spacing w:after="80" w:before="80"/>
      </w:pPr>
      <w:r>
        <w:rPr>
          <w:rFonts w:ascii="Calibri" w:cs="Calibri" w:eastAsia="Calibri" w:hAnsi="Calibri"/>
          <w:sz w:val="22"/>
          <w:szCs w:val="22"/>
        </w:rPr>
        <w:t xml:space="preserve">Vitality's reporting framework is structured around the three KPIs the County named in Addendum #2, in this order:</w:t>
      </w:r>
    </w:p>
    <w:p>
      <w:r>
        <w:rPr>
          <w:rFonts w:ascii="Calibri" w:cs="Calibri" w:eastAsia="Calibri" w:hAnsi="Calibri"/>
          <w:sz w:val="22"/>
          <w:szCs w:val="22"/>
        </w:rPr>
        <w:t xml:space="preserve"/>
      </w:r>
    </w:p>
    <w:p>
      <w:pPr>
        <w:spacing w:after="80" w:before="80"/>
      </w:pPr>
      <w:r>
        <w:rPr>
          <w:rFonts w:ascii="Calibri" w:cs="Calibri" w:eastAsia="Calibri" w:hAnsi="Calibri"/>
          <w:b/>
          <w:bCs/>
          <w:sz w:val="22"/>
          <w:szCs w:val="22"/>
        </w:rPr>
        <w:t xml:space="preserve">KPI 1 — Continued member engagement</w:t>
      </w:r>
    </w:p>
    <w:p>
      <w:pPr>
        <w:pStyle w:val="ListParagraph"/>
        <w:numPr>
          <w:ilvl w:val="0"/>
          <w:numId w:val="1"/>
        </w:numPr>
        <w:spacing w:after="60" w:before="60"/>
      </w:pPr>
      <w:r>
        <w:rPr>
          <w:rFonts w:ascii="Calibri" w:cs="Calibri" w:eastAsia="Calibri" w:hAnsi="Calibri"/>
          <w:sz w:val="22"/>
          <w:szCs w:val="22"/>
        </w:rPr>
        <w:t xml:space="preserve">30/60/90-day active rate</w:t>
      </w:r>
    </w:p>
    <w:p>
      <w:pPr>
        <w:pStyle w:val="ListParagraph"/>
        <w:numPr>
          <w:ilvl w:val="0"/>
          <w:numId w:val="1"/>
        </w:numPr>
        <w:spacing w:after="60" w:before="60"/>
      </w:pPr>
      <w:r>
        <w:rPr>
          <w:rFonts w:ascii="Calibri" w:cs="Calibri" w:eastAsia="Calibri" w:hAnsi="Calibri"/>
          <w:sz w:val="22"/>
          <w:szCs w:val="22"/>
        </w:rPr>
        <w:t xml:space="preserve">Weekly check-in completion rate</w:t>
      </w:r>
    </w:p>
    <w:p>
      <w:pPr>
        <w:pStyle w:val="ListParagraph"/>
        <w:numPr>
          <w:ilvl w:val="0"/>
          <w:numId w:val="1"/>
        </w:numPr>
        <w:spacing w:after="60" w:before="60"/>
      </w:pPr>
      <w:r>
        <w:rPr>
          <w:rFonts w:ascii="Calibri" w:cs="Calibri" w:eastAsia="Calibri" w:hAnsi="Calibri"/>
          <w:sz w:val="22"/>
          <w:szCs w:val="22"/>
        </w:rPr>
        <w:t xml:space="preserve">Coaching touchpoint volume per member per month</w:t>
      </w:r>
    </w:p>
    <w:p>
      <w:pPr>
        <w:pStyle w:val="ListParagraph"/>
        <w:numPr>
          <w:ilvl w:val="0"/>
          <w:numId w:val="1"/>
        </w:numPr>
        <w:spacing w:after="60" w:before="60"/>
      </w:pPr>
      <w:r>
        <w:rPr>
          <w:rFonts w:ascii="Calibri" w:cs="Calibri" w:eastAsia="Calibri" w:hAnsi="Calibri"/>
          <w:sz w:val="22"/>
          <w:szCs w:val="22"/>
        </w:rPr>
        <w:t xml:space="preserve">Time-to-disengagement (days from last activity)</w:t>
      </w:r>
    </w:p>
    <w:p>
      <w:pPr>
        <w:pStyle w:val="ListParagraph"/>
        <w:numPr>
          <w:ilvl w:val="0"/>
          <w:numId w:val="1"/>
        </w:numPr>
        <w:spacing w:after="60" w:before="60"/>
      </w:pPr>
      <w:r>
        <w:rPr>
          <w:rFonts w:ascii="Calibri" w:cs="Calibri" w:eastAsia="Calibri" w:hAnsi="Calibri"/>
          <w:sz w:val="22"/>
          <w:szCs w:val="22"/>
        </w:rPr>
        <w:t xml:space="preserve">Cohort retention curves</w:t>
      </w:r>
    </w:p>
    <w:p>
      <w:r>
        <w:rPr>
          <w:rFonts w:ascii="Calibri" w:cs="Calibri" w:eastAsia="Calibri" w:hAnsi="Calibri"/>
          <w:sz w:val="22"/>
          <w:szCs w:val="22"/>
        </w:rPr>
        <w:t xml:space="preserve"/>
      </w:r>
    </w:p>
    <w:p>
      <w:pPr>
        <w:spacing w:after="80" w:before="80"/>
      </w:pPr>
      <w:r>
        <w:rPr>
          <w:rFonts w:ascii="Calibri" w:cs="Calibri" w:eastAsia="Calibri" w:hAnsi="Calibri"/>
          <w:b/>
          <w:bCs/>
          <w:sz w:val="22"/>
          <w:szCs w:val="22"/>
        </w:rPr>
        <w:t xml:space="preserve">KPI 2 — Proper use of GLP-1 medications</w:t>
      </w:r>
    </w:p>
    <w:p>
      <w:pPr>
        <w:pStyle w:val="ListParagraph"/>
        <w:numPr>
          <w:ilvl w:val="0"/>
          <w:numId w:val="1"/>
        </w:numPr>
        <w:spacing w:after="60" w:before="60"/>
      </w:pPr>
      <w:r>
        <w:rPr>
          <w:rFonts w:ascii="Calibri" w:cs="Calibri" w:eastAsia="Calibri" w:hAnsi="Calibri"/>
          <w:sz w:val="22"/>
          <w:szCs w:val="22"/>
        </w:rPr>
        <w:t xml:space="preserve">Twelve-month adherence rate on GLP-1 pathway</w:t>
      </w:r>
    </w:p>
    <w:p>
      <w:pPr>
        <w:pStyle w:val="ListParagraph"/>
        <w:numPr>
          <w:ilvl w:val="0"/>
          <w:numId w:val="1"/>
        </w:numPr>
        <w:spacing w:after="60" w:before="60"/>
      </w:pPr>
      <w:r>
        <w:rPr>
          <w:rFonts w:ascii="Calibri" w:cs="Calibri" w:eastAsia="Calibri" w:hAnsi="Calibri"/>
          <w:sz w:val="22"/>
          <w:szCs w:val="22"/>
        </w:rPr>
        <w:t xml:space="preserve">Titration completion rate</w:t>
      </w:r>
    </w:p>
    <w:p>
      <w:pPr>
        <w:pStyle w:val="ListParagraph"/>
        <w:numPr>
          <w:ilvl w:val="0"/>
          <w:numId w:val="1"/>
        </w:numPr>
        <w:spacing w:after="60" w:before="60"/>
      </w:pPr>
      <w:r>
        <w:rPr>
          <w:rFonts w:ascii="Calibri" w:cs="Calibri" w:eastAsia="Calibri" w:hAnsi="Calibri"/>
          <w:sz w:val="22"/>
          <w:szCs w:val="22"/>
        </w:rPr>
        <w:t xml:space="preserve">Side-effect-driven discontinuation rate (vs. unmanaged baseline)</w:t>
      </w:r>
    </w:p>
    <w:p>
      <w:pPr>
        <w:pStyle w:val="ListParagraph"/>
        <w:numPr>
          <w:ilvl w:val="0"/>
          <w:numId w:val="1"/>
        </w:numPr>
        <w:spacing w:after="60" w:before="60"/>
      </w:pPr>
      <w:r>
        <w:rPr>
          <w:rFonts w:ascii="Calibri" w:cs="Calibri" w:eastAsia="Calibri" w:hAnsi="Calibri"/>
          <w:sz w:val="22"/>
          <w:szCs w:val="22"/>
        </w:rPr>
        <w:t xml:space="preserve">Fill-reconciliation gap rate</w:t>
      </w:r>
    </w:p>
    <w:p>
      <w:pPr>
        <w:pStyle w:val="ListParagraph"/>
        <w:numPr>
          <w:ilvl w:val="0"/>
          <w:numId w:val="1"/>
        </w:numPr>
        <w:spacing w:after="60" w:before="60"/>
      </w:pPr>
      <w:r>
        <w:rPr>
          <w:rFonts w:ascii="Calibri" w:cs="Calibri" w:eastAsia="Calibri" w:hAnsi="Calibri"/>
          <w:sz w:val="22"/>
          <w:szCs w:val="22"/>
        </w:rPr>
        <w:t xml:space="preserve">Clinical-visit attendance rate</w:t>
      </w:r>
    </w:p>
    <w:p>
      <w:r>
        <w:rPr>
          <w:rFonts w:ascii="Calibri" w:cs="Calibri" w:eastAsia="Calibri" w:hAnsi="Calibri"/>
          <w:sz w:val="22"/>
          <w:szCs w:val="22"/>
        </w:rPr>
        <w:t xml:space="preserve"/>
      </w:r>
    </w:p>
    <w:p>
      <w:pPr>
        <w:spacing w:after="80" w:before="80"/>
      </w:pPr>
      <w:r>
        <w:rPr>
          <w:rFonts w:ascii="Calibri" w:cs="Calibri" w:eastAsia="Calibri" w:hAnsi="Calibri"/>
          <w:b/>
          <w:bCs/>
          <w:sz w:val="22"/>
          <w:szCs w:val="22"/>
        </w:rPr>
        <w:t xml:space="preserve">KPI 3 — Cost savings</w:t>
      </w:r>
    </w:p>
    <w:p>
      <w:pPr>
        <w:pStyle w:val="ListParagraph"/>
        <w:numPr>
          <w:ilvl w:val="0"/>
          <w:numId w:val="1"/>
        </w:numPr>
        <w:spacing w:after="60" w:before="60"/>
      </w:pPr>
      <w:r>
        <w:rPr>
          <w:rFonts w:ascii="Calibri" w:cs="Calibri" w:eastAsia="Calibri" w:hAnsi="Calibri"/>
          <w:sz w:val="22"/>
          <w:szCs w:val="22"/>
        </w:rPr>
        <w:t xml:space="preserve">Year-over-year medical cost trend for enrolled cohort vs. matched no-program cohort</w:t>
      </w:r>
    </w:p>
    <w:p>
      <w:pPr>
        <w:pStyle w:val="ListParagraph"/>
        <w:numPr>
          <w:ilvl w:val="0"/>
          <w:numId w:val="1"/>
        </w:numPr>
        <w:spacing w:after="60" w:before="60"/>
      </w:pPr>
      <w:r>
        <w:rPr>
          <w:rFonts w:ascii="Calibri" w:cs="Calibri" w:eastAsia="Calibri" w:hAnsi="Calibri"/>
          <w:sz w:val="22"/>
          <w:szCs w:val="22"/>
        </w:rPr>
        <w:t xml:space="preserve">GLP-1 PMPY (per member per year) for enrolled vs. unenrolled GLP-1 users</w:t>
      </w:r>
    </w:p>
    <w:p>
      <w:pPr>
        <w:pStyle w:val="ListParagraph"/>
        <w:numPr>
          <w:ilvl w:val="0"/>
          <w:numId w:val="1"/>
        </w:numPr>
        <w:spacing w:after="60" w:before="60"/>
      </w:pPr>
      <w:r>
        <w:rPr>
          <w:rFonts w:ascii="Calibri" w:cs="Calibri" w:eastAsia="Calibri" w:hAnsi="Calibri"/>
          <w:sz w:val="22"/>
          <w:szCs w:val="22"/>
        </w:rPr>
        <w:t xml:space="preserve">Productivity savings estimate (RAND model)</w:t>
      </w:r>
    </w:p>
    <w:p>
      <w:pPr>
        <w:pStyle w:val="ListParagraph"/>
        <w:numPr>
          <w:ilvl w:val="0"/>
          <w:numId w:val="1"/>
        </w:numPr>
        <w:spacing w:after="60" w:before="60"/>
      </w:pPr>
      <w:r>
        <w:rPr>
          <w:rFonts w:ascii="Calibri" w:cs="Calibri" w:eastAsia="Calibri" w:hAnsi="Calibri"/>
          <w:sz w:val="22"/>
          <w:szCs w:val="22"/>
        </w:rPr>
        <w:t xml:space="preserve">Cumulative program ROI ratio</w:t>
      </w:r>
    </w:p>
    <w:p>
      <w:r>
        <w:rPr>
          <w:rFonts w:ascii="Calibri" w:cs="Calibri" w:eastAsia="Calibri" w:hAnsi="Calibri"/>
          <w:sz w:val="22"/>
          <w:szCs w:val="22"/>
        </w:rPr>
        <w:t xml:space="preserve"/>
      </w:r>
    </w:p>
    <w:p>
      <w:pPr>
        <w:spacing w:after="160" w:before="320"/>
      </w:pPr>
      <w:r>
        <w:rPr>
          <w:rFonts w:ascii="Calibri" w:cs="Calibri" w:eastAsia="Calibri" w:hAnsi="Calibri"/>
          <w:b/>
          <w:bCs/>
          <w:color w:val="0F4C81"/>
          <w:sz w:val="28"/>
          <w:szCs w:val="28"/>
        </w:rPr>
        <w:t xml:space="preserve">9.2 Reporting cadence</w:t>
      </w:r>
    </w:p>
    <w:p>
      <w:r>
        <w:rPr>
          <w:rFonts w:ascii="Calibri" w:cs="Calibri" w:eastAsia="Calibri" w:hAnsi="Calibri"/>
          <w:sz w:val="22"/>
          <w:szCs w:val="22"/>
        </w:rPr>
        <w:t xml:space="preserve"/>
      </w:r>
    </w:p>
    <w:tbl>
      <w:tblPr>
        <w:tblW w:type="pct" w:w="100%"/>
        <w:tblBorders>
          <w:top w:val="single" w:color="BFBFBF" w:sz="4"/>
          <w:left w:val="single" w:color="BFBFBF" w:sz="4"/>
          <w:bottom w:val="single" w:color="BFBFBF" w:sz="4"/>
          <w:right w:val="single" w:color="BFBFBF" w:sz="4"/>
          <w:insideH w:val="single" w:color="D9D9D9" w:sz="2"/>
          <w:insideV w:val="single" w:color="D9D9D9" w:sz="2"/>
        </w:tblBorders>
      </w:tblPr>
      <w:tblGrid>
        <w:gridCol w:w="100"/>
        <w:gridCol w:w="100"/>
        <w:gridCol w:w="100"/>
      </w:tblGrid>
      <w:tr>
        <w:trPr>
          <w:tblHeader/>
        </w:trPr>
        <w:tc>
          <w:tcPr>
            <w:tcW w:type="pct" w:w="33%"/>
            <w:shd w:fill="0F4C81"/>
            <w:tcMar>
              <w:top w:type="dxa" w:w="80"/>
              <w:left w:type="dxa" w:w="100"/>
              <w:bottom w:type="dxa" w:w="80"/>
              <w:right w:type="dxa" w:w="100"/>
            </w:tcMar>
          </w:tcPr>
          <w:p>
            <w:pPr>
              <w:spacing w:after="40" w:before="40"/>
            </w:pPr>
            <w:r>
              <w:rPr>
                <w:rFonts w:ascii="Calibri" w:cs="Calibri" w:eastAsia="Calibri" w:hAnsi="Calibri"/>
                <w:b/>
                <w:bCs/>
                <w:color w:val="FFFFFF"/>
                <w:sz w:val="20"/>
                <w:szCs w:val="20"/>
              </w:rPr>
              <w:t xml:space="preserve">Audience</w:t>
            </w:r>
          </w:p>
        </w:tc>
        <w:tc>
          <w:tcPr>
            <w:tcW w:type="pct" w:w="33%"/>
            <w:shd w:fill="0F4C81"/>
            <w:tcMar>
              <w:top w:type="dxa" w:w="80"/>
              <w:left w:type="dxa" w:w="100"/>
              <w:bottom w:type="dxa" w:w="80"/>
              <w:right w:type="dxa" w:w="100"/>
            </w:tcMar>
          </w:tcPr>
          <w:p>
            <w:pPr>
              <w:spacing w:after="40" w:before="40"/>
            </w:pPr>
            <w:r>
              <w:rPr>
                <w:rFonts w:ascii="Calibri" w:cs="Calibri" w:eastAsia="Calibri" w:hAnsi="Calibri"/>
                <w:b/>
                <w:bCs/>
                <w:color w:val="FFFFFF"/>
                <w:sz w:val="20"/>
                <w:szCs w:val="20"/>
              </w:rPr>
              <w:t xml:space="preserve">Cadence</w:t>
            </w:r>
          </w:p>
        </w:tc>
        <w:tc>
          <w:tcPr>
            <w:tcW w:type="pct" w:w="33%"/>
            <w:shd w:fill="0F4C81"/>
            <w:tcMar>
              <w:top w:type="dxa" w:w="80"/>
              <w:left w:type="dxa" w:w="100"/>
              <w:bottom w:type="dxa" w:w="80"/>
              <w:right w:type="dxa" w:w="100"/>
            </w:tcMar>
          </w:tcPr>
          <w:p>
            <w:pPr>
              <w:spacing w:after="40" w:before="40"/>
            </w:pPr>
            <w:r>
              <w:rPr>
                <w:rFonts w:ascii="Calibri" w:cs="Calibri" w:eastAsia="Calibri" w:hAnsi="Calibri"/>
                <w:b/>
                <w:bCs/>
                <w:color w:val="FFFFFF"/>
                <w:sz w:val="20"/>
                <w:szCs w:val="20"/>
              </w:rPr>
              <w:t xml:space="preserve">Format</w:t>
            </w:r>
          </w:p>
        </w:tc>
      </w:tr>
      <w:tr>
        <w:tc>
          <w:tcPr>
            <w:tcW w:type="pct" w:w="33%"/>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County Risk Management and HR</w:t>
            </w:r>
          </w:p>
        </w:tc>
        <w:tc>
          <w:tcPr>
            <w:tcW w:type="pct" w:w="33%"/>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Monthly</w:t>
            </w:r>
          </w:p>
        </w:tc>
        <w:tc>
          <w:tcPr>
            <w:tcW w:type="pct" w:w="33%"/>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Operational dashboard (PDF + live web link)</w:t>
            </w:r>
          </w:p>
        </w:tc>
      </w:tr>
      <w:tr>
        <w:tc>
          <w:tcPr>
            <w:tcW w:type="pct" w:w="33%"/>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County executive (County Manager, Finance)</w:t>
            </w:r>
          </w:p>
        </w:tc>
        <w:tc>
          <w:tcPr>
            <w:tcW w:type="pct" w:w="33%"/>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Quarterly</w:t>
            </w:r>
          </w:p>
        </w:tc>
        <w:tc>
          <w:tcPr>
            <w:tcW w:type="pct" w:w="33%"/>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Executive summary with KPI trend, financial summary, action items</w:t>
            </w:r>
          </w:p>
        </w:tc>
      </w:tr>
      <w:tr>
        <w:tc>
          <w:tcPr>
            <w:tcW w:type="pct" w:w="33%"/>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Board of County Commissioners</w:t>
            </w:r>
          </w:p>
        </w:tc>
        <w:tc>
          <w:tcPr>
            <w:tcW w:type="pct" w:w="33%"/>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Annual</w:t>
            </w:r>
          </w:p>
        </w:tc>
        <w:tc>
          <w:tcPr>
            <w:tcW w:type="pct" w:w="33%"/>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Outcomes report with year-over-year comparison</w:t>
            </w:r>
          </w:p>
        </w:tc>
      </w:tr>
      <w:tr>
        <w:tc>
          <w:tcPr>
            <w:tcW w:type="pct" w:w="33%"/>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County IT and security</w:t>
            </w:r>
          </w:p>
        </w:tc>
        <w:tc>
          <w:tcPr>
            <w:tcW w:type="pct" w:w="33%"/>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Quarterly</w:t>
            </w:r>
          </w:p>
        </w:tc>
        <w:tc>
          <w:tcPr>
            <w:tcW w:type="pct" w:w="33%"/>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Security and compliance review</w:t>
            </w:r>
          </w:p>
        </w:tc>
      </w:tr>
      <w:tr>
        <w:tc>
          <w:tcPr>
            <w:tcW w:type="pct" w:w="33%"/>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Broker of record (IMA)</w:t>
            </w:r>
          </w:p>
        </w:tc>
        <w:tc>
          <w:tcPr>
            <w:tcW w:type="pct" w:w="33%"/>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Quarterly</w:t>
            </w:r>
          </w:p>
        </w:tc>
        <w:tc>
          <w:tcPr>
            <w:tcW w:type="pct" w:w="33%"/>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Aligned with executive summary; IMA-facing economic detail</w:t>
            </w:r>
          </w:p>
        </w:tc>
      </w:tr>
    </w:tbl>
    <w:p>
      <w:r>
        <w:rPr>
          <w:rFonts w:ascii="Calibri" w:cs="Calibri" w:eastAsia="Calibri" w:hAnsi="Calibri"/>
          <w:sz w:val="22"/>
          <w:szCs w:val="22"/>
        </w:rPr>
        <w:t xml:space="preserve"/>
      </w:r>
    </w:p>
    <w:p>
      <w:r>
        <w:rPr>
          <w:rFonts w:ascii="Calibri" w:cs="Calibri" w:eastAsia="Calibri" w:hAnsi="Calibri"/>
          <w:sz w:val="22"/>
          <w:szCs w:val="22"/>
        </w:rPr>
        <w:t xml:space="preserve"/>
      </w:r>
    </w:p>
    <w:p>
      <w:pPr>
        <w:spacing w:after="160" w:before="320"/>
      </w:pPr>
      <w:r>
        <w:rPr>
          <w:rFonts w:ascii="Calibri" w:cs="Calibri" w:eastAsia="Calibri" w:hAnsi="Calibri"/>
          <w:b/>
          <w:bCs/>
          <w:color w:val="0F4C81"/>
          <w:sz w:val="28"/>
          <w:szCs w:val="28"/>
        </w:rPr>
        <w:t xml:space="preserve">9.3 Dashboard architecture</w:t>
      </w:r>
    </w:p>
    <w:p>
      <w:r>
        <w:rPr>
          <w:rFonts w:ascii="Calibri" w:cs="Calibri" w:eastAsia="Calibri" w:hAnsi="Calibri"/>
          <w:sz w:val="22"/>
          <w:szCs w:val="22"/>
        </w:rPr>
        <w:t xml:space="preserve"/>
      </w:r>
    </w:p>
    <w:p>
      <w:pPr>
        <w:spacing w:after="80" w:before="80"/>
      </w:pPr>
      <w:r>
        <w:rPr>
          <w:rFonts w:ascii="Calibri" w:cs="Calibri" w:eastAsia="Calibri" w:hAnsi="Calibri"/>
          <w:sz w:val="22"/>
          <w:szCs w:val="22"/>
        </w:rPr>
        <w:t xml:space="preserve">The Vitality employer dashboard is accessible via the County's existing SSO infrastructure (Azure AD). Authorized County users (HR, Risk Management, Finance, IT, leadership) see a real-time view of:</w:t>
      </w:r>
    </w:p>
    <w:p>
      <w:r>
        <w:rPr>
          <w:rFonts w:ascii="Calibri" w:cs="Calibri" w:eastAsia="Calibri" w:hAnsi="Calibri"/>
          <w:sz w:val="22"/>
          <w:szCs w:val="22"/>
        </w:rPr>
        <w:t xml:space="preserve"/>
      </w:r>
    </w:p>
    <w:p>
      <w:pPr>
        <w:pStyle w:val="ListParagraph"/>
        <w:numPr>
          <w:ilvl w:val="0"/>
          <w:numId w:val="1"/>
        </w:numPr>
        <w:spacing w:after="60" w:before="60"/>
      </w:pPr>
      <w:r>
        <w:rPr>
          <w:rFonts w:ascii="Calibri" w:cs="Calibri" w:eastAsia="Calibri" w:hAnsi="Calibri"/>
          <w:sz w:val="22"/>
          <w:szCs w:val="22"/>
        </w:rPr>
        <w:t xml:space="preserve">Population baseline (4,213 adults, 5,871 enrolled — refreshed from UHC eligibility feed)</w:t>
      </w:r>
    </w:p>
    <w:p>
      <w:pPr>
        <w:pStyle w:val="ListParagraph"/>
        <w:numPr>
          <w:ilvl w:val="0"/>
          <w:numId w:val="1"/>
        </w:numPr>
        <w:spacing w:after="60" w:before="60"/>
      </w:pPr>
      <w:r>
        <w:rPr>
          <w:rFonts w:ascii="Calibri" w:cs="Calibri" w:eastAsia="Calibri" w:hAnsi="Calibri"/>
          <w:sz w:val="22"/>
          <w:szCs w:val="22"/>
        </w:rPr>
        <w:t xml:space="preserve">Current enrollment by pathway</w:t>
      </w:r>
    </w:p>
    <w:p>
      <w:pPr>
        <w:pStyle w:val="ListParagraph"/>
        <w:numPr>
          <w:ilvl w:val="0"/>
          <w:numId w:val="1"/>
        </w:numPr>
        <w:spacing w:after="60" w:before="60"/>
      </w:pPr>
      <w:r>
        <w:rPr>
          <w:rFonts w:ascii="Calibri" w:cs="Calibri" w:eastAsia="Calibri" w:hAnsi="Calibri"/>
          <w:sz w:val="22"/>
          <w:szCs w:val="22"/>
        </w:rPr>
        <w:t xml:space="preserve">KPI performance against targets</w:t>
      </w:r>
    </w:p>
    <w:p>
      <w:pPr>
        <w:pStyle w:val="ListParagraph"/>
        <w:numPr>
          <w:ilvl w:val="0"/>
          <w:numId w:val="1"/>
        </w:numPr>
        <w:spacing w:after="60" w:before="60"/>
      </w:pPr>
      <w:r>
        <w:rPr>
          <w:rFonts w:ascii="Calibri" w:cs="Calibri" w:eastAsia="Calibri" w:hAnsi="Calibri"/>
          <w:sz w:val="22"/>
          <w:szCs w:val="22"/>
        </w:rPr>
        <w:t xml:space="preserve">GLP-1 utilization (pipeline view: past-year users → currently authorized → active on medication → goal achieved)</w:t>
      </w:r>
    </w:p>
    <w:p>
      <w:pPr>
        <w:pStyle w:val="ListParagraph"/>
        <w:numPr>
          <w:ilvl w:val="0"/>
          <w:numId w:val="1"/>
        </w:numPr>
        <w:spacing w:after="60" w:before="60"/>
      </w:pPr>
      <w:r>
        <w:rPr>
          <w:rFonts w:ascii="Calibri" w:cs="Calibri" w:eastAsia="Calibri" w:hAnsi="Calibri"/>
          <w:sz w:val="22"/>
          <w:szCs w:val="22"/>
        </w:rPr>
        <w:t xml:space="preserve">ROI projection (live, with multi-year scenarios)</w:t>
      </w:r>
    </w:p>
    <w:p>
      <w:pPr>
        <w:pStyle w:val="ListParagraph"/>
        <w:numPr>
          <w:ilvl w:val="0"/>
          <w:numId w:val="1"/>
        </w:numPr>
        <w:spacing w:after="60" w:before="60"/>
      </w:pPr>
      <w:r>
        <w:rPr>
          <w:rFonts w:ascii="Calibri" w:cs="Calibri" w:eastAsia="Calibri" w:hAnsi="Calibri"/>
          <w:sz w:val="22"/>
          <w:szCs w:val="22"/>
        </w:rPr>
        <w:t xml:space="preserve">Engagement alerts (members at risk of disengagement)</w:t>
      </w:r>
    </w:p>
    <w:p>
      <w:pPr>
        <w:pStyle w:val="ListParagraph"/>
        <w:numPr>
          <w:ilvl w:val="0"/>
          <w:numId w:val="1"/>
        </w:numPr>
        <w:spacing w:after="60" w:before="60"/>
      </w:pPr>
      <w:r>
        <w:rPr>
          <w:rFonts w:ascii="Calibri" w:cs="Calibri" w:eastAsia="Calibri" w:hAnsi="Calibri"/>
          <w:sz w:val="22"/>
          <w:szCs w:val="22"/>
        </w:rPr>
        <w:t xml:space="preserve">VITA AI Analytics Advisor (employer mode) for natural-language queries</w:t>
      </w:r>
    </w:p>
    <w:p>
      <w:r>
        <w:rPr>
          <w:rFonts w:ascii="Calibri" w:cs="Calibri" w:eastAsia="Calibri" w:hAnsi="Calibri"/>
          <w:sz w:val="22"/>
          <w:szCs w:val="22"/>
        </w:rPr>
        <w:t xml:space="preserve"/>
      </w:r>
    </w:p>
    <w:p>
      <w:pPr>
        <w:spacing w:after="80" w:before="80"/>
      </w:pPr>
      <w:r>
        <w:rPr>
          <w:rFonts w:ascii="Calibri" w:cs="Calibri" w:eastAsia="Calibri" w:hAnsi="Calibri"/>
          <w:sz w:val="22"/>
          <w:szCs w:val="22"/>
        </w:rPr>
        <w:t xml:space="preserve">All de-identified aggregate exports are downloadable as CSV for ingestion into the County's preferred BI tooling (Power BI, Tableau, or equivalent).</w:t>
      </w:r>
    </w:p>
    <w:p>
      <w:r>
        <w:rPr>
          <w:rFonts w:ascii="Calibri" w:cs="Calibri" w:eastAsia="Calibri" w:hAnsi="Calibri"/>
          <w:sz w:val="22"/>
          <w:szCs w:val="22"/>
        </w:rPr>
        <w:t xml:space="preserve"/>
      </w:r>
    </w:p>
    <w:p>
      <w:pPr>
        <w:pBdr>
          <w:bottom w:val="single" w:color="888888" w:sz="6" w:space="1"/>
        </w:pBdr>
        <w:spacing w:after="120" w:before="120"/>
      </w:pPr>
    </w:p>
    <w:p>
      <w:r>
        <w:rPr>
          <w:rFonts w:ascii="Calibri" w:cs="Calibri" w:eastAsia="Calibri" w:hAnsi="Calibri"/>
          <w:sz w:val="22"/>
          <w:szCs w:val="22"/>
        </w:rPr>
        <w:t xml:space="preserve"/>
      </w:r>
    </w:p>
    <w:p>
      <w:pPr>
        <w:spacing w:after="220" w:before="360"/>
        <w:jc w:val="left"/>
      </w:pPr>
      <w:r>
        <w:rPr>
          <w:rFonts w:ascii="Calibri" w:cs="Calibri" w:eastAsia="Calibri" w:hAnsi="Calibri"/>
          <w:b/>
          <w:bCs/>
          <w:color w:val="0F4C81"/>
          <w:sz w:val="36"/>
          <w:szCs w:val="36"/>
        </w:rPr>
        <w:t xml:space="preserve">Section 10 — References and Past Performance</w:t>
      </w:r>
    </w:p>
    <w:p>
      <w:r>
        <w:rPr>
          <w:rFonts w:ascii="Calibri" w:cs="Calibri" w:eastAsia="Calibri" w:hAnsi="Calibri"/>
          <w:sz w:val="22"/>
          <w:szCs w:val="22"/>
        </w:rPr>
        <w:t xml:space="preserve"/>
      </w:r>
    </w:p>
    <w:p>
      <w:pPr>
        <w:spacing w:after="80" w:before="80"/>
      </w:pPr>
      <w:r>
        <w:rPr>
          <w:rFonts w:ascii="Calibri" w:cs="Calibri" w:eastAsia="Calibri" w:hAnsi="Calibri"/>
          <w:sz w:val="22"/>
          <w:szCs w:val="22"/>
        </w:rPr>
        <w:t xml:space="preserve">References are organized by team competency. Detailed reference letters and performance documentation are available upon request from the Sedgwick County Purchasing Department.</w:t>
      </w:r>
    </w:p>
    <w:p>
      <w:r>
        <w:rPr>
          <w:rFonts w:ascii="Calibri" w:cs="Calibri" w:eastAsia="Calibri" w:hAnsi="Calibri"/>
          <w:sz w:val="22"/>
          <w:szCs w:val="22"/>
        </w:rPr>
        <w:t xml:space="preserve"/>
      </w:r>
    </w:p>
    <w:tbl>
      <w:tblPr>
        <w:tblW w:type="pct" w:w="100%"/>
        <w:tblBorders>
          <w:top w:val="single" w:color="BFBFBF" w:sz="4"/>
          <w:left w:val="single" w:color="BFBFBF" w:sz="4"/>
          <w:bottom w:val="single" w:color="BFBFBF" w:sz="4"/>
          <w:right w:val="single" w:color="BFBFBF" w:sz="4"/>
          <w:insideH w:val="single" w:color="D9D9D9" w:sz="2"/>
          <w:insideV w:val="single" w:color="D9D9D9" w:sz="2"/>
        </w:tblBorders>
      </w:tblPr>
      <w:tblGrid>
        <w:gridCol w:w="100"/>
        <w:gridCol w:w="100"/>
        <w:gridCol w:w="100"/>
      </w:tblGrid>
      <w:tr>
        <w:trPr>
          <w:tblHeader/>
        </w:trPr>
        <w:tc>
          <w:tcPr>
            <w:tcW w:type="pct" w:w="33%"/>
            <w:shd w:fill="0F4C81"/>
            <w:tcMar>
              <w:top w:type="dxa" w:w="80"/>
              <w:left w:type="dxa" w:w="100"/>
              <w:bottom w:type="dxa" w:w="80"/>
              <w:right w:type="dxa" w:w="100"/>
            </w:tcMar>
          </w:tcPr>
          <w:p>
            <w:pPr>
              <w:spacing w:after="40" w:before="40"/>
            </w:pPr>
            <w:r>
              <w:rPr>
                <w:rFonts w:ascii="Calibri" w:cs="Calibri" w:eastAsia="Calibri" w:hAnsi="Calibri"/>
                <w:b/>
                <w:bCs/>
                <w:color w:val="FFFFFF"/>
                <w:sz w:val="20"/>
                <w:szCs w:val="20"/>
              </w:rPr>
              <w:t xml:space="preserve">Competency domain</w:t>
            </w:r>
          </w:p>
        </w:tc>
        <w:tc>
          <w:tcPr>
            <w:tcW w:type="pct" w:w="33%"/>
            <w:shd w:fill="0F4C81"/>
            <w:tcMar>
              <w:top w:type="dxa" w:w="80"/>
              <w:left w:type="dxa" w:w="100"/>
              <w:bottom w:type="dxa" w:w="80"/>
              <w:right w:type="dxa" w:w="100"/>
            </w:tcMar>
          </w:tcPr>
          <w:p>
            <w:pPr>
              <w:spacing w:after="40" w:before="40"/>
            </w:pPr>
            <w:r>
              <w:rPr>
                <w:rFonts w:ascii="Calibri" w:cs="Calibri" w:eastAsia="Calibri" w:hAnsi="Calibri"/>
                <w:b/>
                <w:bCs/>
                <w:color w:val="FFFFFF"/>
                <w:sz w:val="20"/>
                <w:szCs w:val="20"/>
              </w:rPr>
              <w:t xml:space="preserve">Lead</w:t>
            </w:r>
          </w:p>
        </w:tc>
        <w:tc>
          <w:tcPr>
            <w:tcW w:type="pct" w:w="33%"/>
            <w:shd w:fill="0F4C81"/>
            <w:tcMar>
              <w:top w:type="dxa" w:w="80"/>
              <w:left w:type="dxa" w:w="100"/>
              <w:bottom w:type="dxa" w:w="80"/>
              <w:right w:type="dxa" w:w="100"/>
            </w:tcMar>
          </w:tcPr>
          <w:p>
            <w:pPr>
              <w:spacing w:after="40" w:before="40"/>
            </w:pPr>
            <w:r>
              <w:rPr>
                <w:rFonts w:ascii="Calibri" w:cs="Calibri" w:eastAsia="Calibri" w:hAnsi="Calibri"/>
                <w:b/>
                <w:bCs/>
                <w:color w:val="FFFFFF"/>
                <w:sz w:val="20"/>
                <w:szCs w:val="20"/>
              </w:rPr>
              <w:t xml:space="preserve">Reference scope</w:t>
            </w:r>
          </w:p>
        </w:tc>
      </w:tr>
      <w:tr>
        <w:tc>
          <w:tcPr>
            <w:tcW w:type="pct" w:w="33%"/>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Prime contractor and government compliance</w:t>
            </w:r>
          </w:p>
        </w:tc>
        <w:tc>
          <w:tcPr>
            <w:tcW w:type="pct" w:w="33%"/>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Eric Hargrave, HIS</w:t>
            </w:r>
          </w:p>
        </w:tc>
        <w:tc>
          <w:tcPr>
            <w:tcW w:type="pct" w:w="33%"/>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Active prime-contractor engagements; public-sector and enterprise health-tech implementations. References available on request.</w:t>
            </w:r>
          </w:p>
        </w:tc>
      </w:tr>
      <w:tr>
        <w:tc>
          <w:tcPr>
            <w:tcW w:type="pct" w:w="33%"/>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Clinical weight management</w:t>
            </w:r>
          </w:p>
        </w:tc>
        <w:tc>
          <w:tcPr>
            <w:tcW w:type="pct" w:w="33%"/>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Dr. Chela Love, DNP, Love Clinic MedSpa</w:t>
            </w:r>
          </w:p>
        </w:tc>
        <w:tc>
          <w:tcPr>
            <w:tcW w:type="pct" w:w="33%"/>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Active clinical practice in Wichita; GLP-1 patient panel. References available from current patient panel and referring providers, subject to HIPAA authorization.</w:t>
            </w:r>
          </w:p>
        </w:tc>
      </w:tr>
      <w:tr>
        <w:tc>
          <w:tcPr>
            <w:tcW w:type="pct" w:w="33%"/>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Wellness coaching and behavioral engagement</w:t>
            </w:r>
          </w:p>
        </w:tc>
        <w:tc>
          <w:tcPr>
            <w:tcW w:type="pct" w:w="33%"/>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Dr. J. Michelle Vann, Vanntastic Solutions</w:t>
            </w:r>
          </w:p>
        </w:tc>
        <w:tc>
          <w:tcPr>
            <w:tcW w:type="pct" w:w="33%"/>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Public speaking (TEDx); community-based wellness programming; youth and family wellness work in the Wichita area. References available on request.</w:t>
            </w:r>
          </w:p>
        </w:tc>
      </w:tr>
      <w:tr>
        <w:tc>
          <w:tcPr>
            <w:tcW w:type="pct" w:w="33%"/>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Digital platform, engagement systems, and data</w:t>
            </w:r>
          </w:p>
        </w:tc>
        <w:tc>
          <w:tcPr>
            <w:tcW w:type="pct" w:w="33%"/>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Dr. Terry D. Flood, DHA, EdD, COLLABORATIVE Advocate Foundation</w:t>
            </w:r>
          </w:p>
        </w:tc>
        <w:tc>
          <w:tcPr>
            <w:tcW w:type="pct" w:w="33%"/>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U.S. Army retiree with extensive public-sector implementation background. Active Secret-level clearance. PMP-eligible. FHIR/HL7 integration work. References available on request, subject to clearance constraints.</w:t>
            </w:r>
          </w:p>
        </w:tc>
      </w:tr>
    </w:tbl>
    <w:p>
      <w:r>
        <w:rPr>
          <w:rFonts w:ascii="Calibri" w:cs="Calibri" w:eastAsia="Calibri" w:hAnsi="Calibri"/>
          <w:sz w:val="22"/>
          <w:szCs w:val="22"/>
        </w:rPr>
        <w:t xml:space="preserve"/>
      </w:r>
    </w:p>
    <w:p>
      <w:r>
        <w:rPr>
          <w:rFonts w:ascii="Calibri" w:cs="Calibri" w:eastAsia="Calibri" w:hAnsi="Calibri"/>
          <w:sz w:val="22"/>
          <w:szCs w:val="22"/>
        </w:rPr>
        <w:t xml:space="preserve"/>
      </w:r>
    </w:p>
    <w:p>
      <w:pPr>
        <w:pBdr>
          <w:bottom w:val="single" w:color="888888" w:sz="6" w:space="1"/>
        </w:pBdr>
        <w:spacing w:after="120" w:before="120"/>
      </w:pPr>
    </w:p>
    <w:p>
      <w:r>
        <w:rPr>
          <w:rFonts w:ascii="Calibri" w:cs="Calibri" w:eastAsia="Calibri" w:hAnsi="Calibri"/>
          <w:sz w:val="22"/>
          <w:szCs w:val="22"/>
        </w:rPr>
        <w:t xml:space="preserve"/>
      </w:r>
    </w:p>
    <w:p>
      <w:pPr>
        <w:spacing w:after="220" w:before="360"/>
        <w:jc w:val="left"/>
      </w:pPr>
      <w:r>
        <w:rPr>
          <w:rFonts w:ascii="Calibri" w:cs="Calibri" w:eastAsia="Calibri" w:hAnsi="Calibri"/>
          <w:b/>
          <w:bCs/>
          <w:color w:val="0F4C81"/>
          <w:sz w:val="36"/>
          <w:szCs w:val="36"/>
        </w:rPr>
        <w:t xml:space="preserve">Section 11 — Compliance, Insurance, and Certifications</w:t>
      </w:r>
    </w:p>
    <w:p>
      <w:r>
        <w:rPr>
          <w:rFonts w:ascii="Calibri" w:cs="Calibri" w:eastAsia="Calibri" w:hAnsi="Calibri"/>
          <w:sz w:val="22"/>
          <w:szCs w:val="22"/>
        </w:rPr>
        <w:t xml:space="preserve"/>
      </w:r>
    </w:p>
    <w:p>
      <w:pPr>
        <w:spacing w:after="160" w:before="320"/>
      </w:pPr>
      <w:r>
        <w:rPr>
          <w:rFonts w:ascii="Calibri" w:cs="Calibri" w:eastAsia="Calibri" w:hAnsi="Calibri"/>
          <w:b/>
          <w:bCs/>
          <w:color w:val="0F4C81"/>
          <w:sz w:val="28"/>
          <w:szCs w:val="28"/>
        </w:rPr>
        <w:t xml:space="preserve">11.1 HIPAA and Business Associate Agreement</w:t>
      </w:r>
    </w:p>
    <w:p>
      <w:r>
        <w:rPr>
          <w:rFonts w:ascii="Calibri" w:cs="Calibri" w:eastAsia="Calibri" w:hAnsi="Calibri"/>
          <w:sz w:val="22"/>
          <w:szCs w:val="22"/>
        </w:rPr>
        <w:t xml:space="preserve"/>
      </w:r>
    </w:p>
    <w:p>
      <w:pPr>
        <w:spacing w:after="80" w:before="80"/>
      </w:pPr>
      <w:r>
        <w:rPr>
          <w:rFonts w:ascii="Calibri" w:cs="Calibri" w:eastAsia="Calibri" w:hAnsi="Calibri"/>
          <w:sz w:val="22"/>
          <w:szCs w:val="22"/>
        </w:rPr>
        <w:t xml:space="preserve">Hargrave Innovative Solutions, as Prime Contractor, will execute the County's standard Business Associate Agreement at contract award. All three subcontractors (Love Clinic MedSpa, Vanntastic Solutions, The COLLABORATIVE Advocate Foundation) will execute back-to-back BAAs with HIS that flow down all material HIPAA terms from the County's BAA. We are prepared to execute the County's standard template, or to negotiate any County-required modifications.</w:t>
      </w:r>
    </w:p>
    <w:p>
      <w:r>
        <w:rPr>
          <w:rFonts w:ascii="Calibri" w:cs="Calibri" w:eastAsia="Calibri" w:hAnsi="Calibri"/>
          <w:sz w:val="22"/>
          <w:szCs w:val="22"/>
        </w:rPr>
        <w:t xml:space="preserve"/>
      </w:r>
    </w:p>
    <w:p>
      <w:pPr>
        <w:spacing w:after="160" w:before="320"/>
      </w:pPr>
      <w:r>
        <w:rPr>
          <w:rFonts w:ascii="Calibri" w:cs="Calibri" w:eastAsia="Calibri" w:hAnsi="Calibri"/>
          <w:b/>
          <w:bCs/>
          <w:color w:val="0F4C81"/>
          <w:sz w:val="28"/>
          <w:szCs w:val="28"/>
        </w:rPr>
        <w:t xml:space="preserve">11.2 Insurance and bonding</w:t>
      </w:r>
    </w:p>
    <w:p>
      <w:r>
        <w:rPr>
          <w:rFonts w:ascii="Calibri" w:cs="Calibri" w:eastAsia="Calibri" w:hAnsi="Calibri"/>
          <w:sz w:val="22"/>
          <w:szCs w:val="22"/>
        </w:rPr>
        <w:t xml:space="preserve"/>
      </w:r>
    </w:p>
    <w:p>
      <w:pPr>
        <w:spacing w:after="80" w:before="80"/>
      </w:pPr>
      <w:r>
        <w:rPr>
          <w:rFonts w:ascii="Calibri" w:cs="Calibri" w:eastAsia="Calibri" w:hAnsi="Calibri"/>
          <w:sz w:val="22"/>
          <w:szCs w:val="22"/>
        </w:rPr>
        <w:t xml:space="preserve">The HIS Prime Contractor team carries:</w:t>
      </w:r>
    </w:p>
    <w:p>
      <w:pPr>
        <w:pStyle w:val="ListParagraph"/>
        <w:numPr>
          <w:ilvl w:val="0"/>
          <w:numId w:val="1"/>
        </w:numPr>
        <w:spacing w:after="60" w:before="60"/>
      </w:pPr>
      <w:r>
        <w:rPr>
          <w:rFonts w:ascii="Calibri" w:cs="Calibri" w:eastAsia="Calibri" w:hAnsi="Calibri"/>
          <w:sz w:val="22"/>
          <w:szCs w:val="22"/>
        </w:rPr>
        <w:t xml:space="preserve">Commercial general liability</w:t>
      </w:r>
    </w:p>
    <w:p>
      <w:pPr>
        <w:pStyle w:val="ListParagraph"/>
        <w:numPr>
          <w:ilvl w:val="0"/>
          <w:numId w:val="1"/>
        </w:numPr>
        <w:spacing w:after="60" w:before="60"/>
      </w:pPr>
      <w:r>
        <w:rPr>
          <w:rFonts w:ascii="Calibri" w:cs="Calibri" w:eastAsia="Calibri" w:hAnsi="Calibri"/>
          <w:sz w:val="22"/>
          <w:szCs w:val="22"/>
        </w:rPr>
        <w:t xml:space="preserve">Professional liability (errors and omissions)</w:t>
      </w:r>
    </w:p>
    <w:p>
      <w:pPr>
        <w:pStyle w:val="ListParagraph"/>
        <w:numPr>
          <w:ilvl w:val="0"/>
          <w:numId w:val="1"/>
        </w:numPr>
        <w:spacing w:after="60" w:before="60"/>
      </w:pPr>
      <w:r>
        <w:rPr>
          <w:rFonts w:ascii="Calibri" w:cs="Calibri" w:eastAsia="Calibri" w:hAnsi="Calibri"/>
          <w:sz w:val="22"/>
          <w:szCs w:val="22"/>
        </w:rPr>
        <w:t xml:space="preserve">Cyber liability</w:t>
      </w:r>
    </w:p>
    <w:p>
      <w:pPr>
        <w:pStyle w:val="ListParagraph"/>
        <w:numPr>
          <w:ilvl w:val="0"/>
          <w:numId w:val="1"/>
        </w:numPr>
        <w:spacing w:after="60" w:before="60"/>
      </w:pPr>
      <w:r>
        <w:rPr>
          <w:rFonts w:ascii="Calibri" w:cs="Calibri" w:eastAsia="Calibri" w:hAnsi="Calibri"/>
          <w:sz w:val="22"/>
          <w:szCs w:val="22"/>
        </w:rPr>
        <w:t xml:space="preserve">Workers' compensation (where applicable)</w:t>
      </w:r>
    </w:p>
    <w:p>
      <w:r>
        <w:rPr>
          <w:rFonts w:ascii="Calibri" w:cs="Calibri" w:eastAsia="Calibri" w:hAnsi="Calibri"/>
          <w:sz w:val="22"/>
          <w:szCs w:val="22"/>
        </w:rPr>
        <w:t xml:space="preserve"/>
      </w:r>
    </w:p>
    <w:p>
      <w:pPr>
        <w:spacing w:after="80" w:before="80"/>
      </w:pPr>
      <w:r>
        <w:rPr>
          <w:rFonts w:ascii="Calibri" w:cs="Calibri" w:eastAsia="Calibri" w:hAnsi="Calibri"/>
          <w:sz w:val="22"/>
          <w:szCs w:val="22"/>
        </w:rPr>
        <w:t xml:space="preserve">Specific coverage levels can be tailored to the County's requirements. If the County requires performance or payment bonding, HIS is prepared to provide bonding through an established surety relationship at the levels specified in the contract.</w:t>
      </w:r>
    </w:p>
    <w:p>
      <w:r>
        <w:rPr>
          <w:rFonts w:ascii="Calibri" w:cs="Calibri" w:eastAsia="Calibri" w:hAnsi="Calibri"/>
          <w:sz w:val="22"/>
          <w:szCs w:val="22"/>
        </w:rPr>
        <w:t xml:space="preserve"/>
      </w:r>
    </w:p>
    <w:p>
      <w:pPr>
        <w:spacing w:after="160" w:before="320"/>
      </w:pPr>
      <w:r>
        <w:rPr>
          <w:rFonts w:ascii="Calibri" w:cs="Calibri" w:eastAsia="Calibri" w:hAnsi="Calibri"/>
          <w:b/>
          <w:bCs/>
          <w:color w:val="0F4C81"/>
          <w:sz w:val="28"/>
          <w:szCs w:val="28"/>
        </w:rPr>
        <w:t xml:space="preserve">11.3 Sedgwick County procurement compliance</w:t>
      </w:r>
    </w:p>
    <w:p>
      <w:r>
        <w:rPr>
          <w:rFonts w:ascii="Calibri" w:cs="Calibri" w:eastAsia="Calibri" w:hAnsi="Calibri"/>
          <w:sz w:val="22"/>
          <w:szCs w:val="22"/>
        </w:rPr>
        <w:t xml:space="preserve"/>
      </w:r>
    </w:p>
    <w:p>
      <w:pPr>
        <w:spacing w:after="80" w:before="80"/>
      </w:pPr>
      <w:r>
        <w:rPr>
          <w:rFonts w:ascii="Calibri" w:cs="Calibri" w:eastAsia="Calibri" w:hAnsi="Calibri"/>
          <w:sz w:val="22"/>
          <w:szCs w:val="22"/>
        </w:rPr>
        <w:t xml:space="preserve">All communication regarding RFP #26-0028 is directed exclusively through the Sedgwick County Purchasing Department (Tammy Culley, Purchasing Agent · 100 N. Broadway, Suite 610, Wichita, KS 67202 · purchasing@sedgwick.gov). The Vitality team will not contact County employees, department heads, evaluation committee members, or elected officials regarding this solicitation.</w:t>
      </w:r>
    </w:p>
    <w:p>
      <w:r>
        <w:rPr>
          <w:rFonts w:ascii="Calibri" w:cs="Calibri" w:eastAsia="Calibri" w:hAnsi="Calibri"/>
          <w:sz w:val="22"/>
          <w:szCs w:val="22"/>
        </w:rPr>
        <w:t xml:space="preserve"/>
      </w:r>
    </w:p>
    <w:p>
      <w:pPr>
        <w:spacing w:after="80" w:before="80"/>
      </w:pPr>
      <w:r>
        <w:rPr>
          <w:rFonts w:ascii="Calibri" w:cs="Calibri" w:eastAsia="Calibri" w:hAnsi="Calibri"/>
          <w:sz w:val="22"/>
          <w:szCs w:val="22"/>
        </w:rPr>
        <w:t xml:space="preserve">The HIS team and all named subcontractors comply with the County's standard procurement integrity provisions, including no gifts, no inducements, and full disclosure of any actual or perceived conflicts of interest. None are known to us at the time of this submission.</w:t>
      </w:r>
    </w:p>
    <w:p>
      <w:r>
        <w:rPr>
          <w:rFonts w:ascii="Calibri" w:cs="Calibri" w:eastAsia="Calibri" w:hAnsi="Calibri"/>
          <w:sz w:val="22"/>
          <w:szCs w:val="22"/>
        </w:rPr>
        <w:t xml:space="preserve"/>
      </w:r>
    </w:p>
    <w:p>
      <w:pPr>
        <w:spacing w:after="80" w:before="80"/>
      </w:pPr>
      <w:r>
        <w:rPr>
          <w:rFonts w:ascii="Calibri" w:cs="Calibri" w:eastAsia="Calibri" w:hAnsi="Calibri"/>
          <w:sz w:val="22"/>
          <w:szCs w:val="22"/>
        </w:rPr>
        <w:t xml:space="preserve">If awarded, the Vitality team is prepared to execute the County's standard contract template, including all standard termination, audit, indemnification, and dispute-resolution provisions.</w:t>
      </w:r>
    </w:p>
    <w:p>
      <w:r>
        <w:rPr>
          <w:rFonts w:ascii="Calibri" w:cs="Calibri" w:eastAsia="Calibri" w:hAnsi="Calibri"/>
          <w:sz w:val="22"/>
          <w:szCs w:val="22"/>
        </w:rPr>
        <w:t xml:space="preserve"/>
      </w:r>
    </w:p>
    <w:p>
      <w:pPr>
        <w:pBdr>
          <w:bottom w:val="single" w:color="888888" w:sz="6" w:space="1"/>
        </w:pBdr>
        <w:spacing w:after="120" w:before="120"/>
      </w:pPr>
    </w:p>
    <w:p>
      <w:r>
        <w:rPr>
          <w:rFonts w:ascii="Calibri" w:cs="Calibri" w:eastAsia="Calibri" w:hAnsi="Calibri"/>
          <w:sz w:val="22"/>
          <w:szCs w:val="22"/>
        </w:rPr>
        <w:t xml:space="preserve"/>
      </w:r>
    </w:p>
    <w:p>
      <w:pPr>
        <w:spacing w:after="220" w:before="360"/>
        <w:jc w:val="left"/>
      </w:pPr>
      <w:r>
        <w:rPr>
          <w:rFonts w:ascii="Calibri" w:cs="Calibri" w:eastAsia="Calibri" w:hAnsi="Calibri"/>
          <w:b/>
          <w:bCs/>
          <w:color w:val="0F4C81"/>
          <w:sz w:val="36"/>
          <w:szCs w:val="36"/>
        </w:rPr>
        <w:t xml:space="preserve">Section 12 — Appendices</w:t>
      </w:r>
    </w:p>
    <w:p>
      <w:r>
        <w:rPr>
          <w:rFonts w:ascii="Calibri" w:cs="Calibri" w:eastAsia="Calibri" w:hAnsi="Calibri"/>
          <w:sz w:val="22"/>
          <w:szCs w:val="22"/>
        </w:rPr>
        <w:t xml:space="preserve"/>
      </w:r>
    </w:p>
    <w:p>
      <w:pPr>
        <w:spacing w:after="160" w:before="320"/>
      </w:pPr>
      <w:r>
        <w:rPr>
          <w:rFonts w:ascii="Calibri" w:cs="Calibri" w:eastAsia="Calibri" w:hAnsi="Calibri"/>
          <w:b/>
          <w:bCs/>
          <w:color w:val="0F4C81"/>
          <w:sz w:val="28"/>
          <w:szCs w:val="28"/>
        </w:rPr>
        <w:t xml:space="preserve">Appendix A — Strategic Analysis of RFP #26-0028 Addendum #2</w:t>
      </w:r>
    </w:p>
    <w:p>
      <w:r>
        <w:rPr>
          <w:rFonts w:ascii="Calibri" w:cs="Calibri" w:eastAsia="Calibri" w:hAnsi="Calibri"/>
          <w:sz w:val="22"/>
          <w:szCs w:val="22"/>
        </w:rPr>
        <w:t xml:space="preserve"/>
      </w:r>
    </w:p>
    <w:p>
      <w:pPr>
        <w:spacing w:after="80" w:before="80"/>
      </w:pPr>
      <w:r>
        <w:rPr>
          <w:rFonts w:ascii="Calibri" w:cs="Calibri" w:eastAsia="Calibri" w:hAnsi="Calibri"/>
          <w:sz w:val="22"/>
          <w:szCs w:val="22"/>
        </w:rPr>
        <w:t xml:space="preserve">This appendix documents the strategic conclusions the Vitality proposal team drew from Addendum #2, issued May 22, 2026 by Tammy Culley, Purchasing Agent. It is preserved here as a discrete artifact for the evaluation committee's reference.</w:t>
      </w:r>
    </w:p>
    <w:p>
      <w:r>
        <w:rPr>
          <w:rFonts w:ascii="Calibri" w:cs="Calibri" w:eastAsia="Calibri" w:hAnsi="Calibri"/>
          <w:sz w:val="22"/>
          <w:szCs w:val="22"/>
        </w:rPr>
        <w:t xml:space="preserve"/>
      </w:r>
    </w:p>
    <w:p>
      <w:pPr>
        <w:spacing w:after="120" w:before="240"/>
      </w:pPr>
      <w:r>
        <w:rPr>
          <w:rFonts w:ascii="Calibri" w:cs="Calibri" w:eastAsia="Calibri" w:hAnsi="Calibri"/>
          <w:b/>
          <w:bCs/>
          <w:color w:val="333333"/>
          <w:sz w:val="24"/>
          <w:szCs w:val="24"/>
        </w:rPr>
        <w:t xml:space="preserve">A.1 The GLP-1 number is the entire story</w:t>
      </w:r>
    </w:p>
    <w:p>
      <w:r>
        <w:rPr>
          <w:rFonts w:ascii="Calibri" w:cs="Calibri" w:eastAsia="Calibri" w:hAnsi="Calibri"/>
          <w:sz w:val="22"/>
          <w:szCs w:val="22"/>
        </w:rPr>
        <w:t xml:space="preserve"/>
      </w:r>
    </w:p>
    <w:p>
      <w:pPr>
        <w:spacing w:after="80" w:before="80"/>
      </w:pPr>
      <w:r>
        <w:rPr>
          <w:rFonts w:ascii="Calibri" w:cs="Calibri" w:eastAsia="Calibri" w:hAnsi="Calibri"/>
          <w:sz w:val="22"/>
          <w:szCs w:val="22"/>
        </w:rPr>
        <w:t xml:space="preserve">Addendum #2 disclosed three numbers that, together, reframe the entire proposal:</w:t>
      </w:r>
    </w:p>
    <w:p>
      <w:r>
        <w:rPr>
          <w:rFonts w:ascii="Calibri" w:cs="Calibri" w:eastAsia="Calibri" w:hAnsi="Calibri"/>
          <w:sz w:val="22"/>
          <w:szCs w:val="22"/>
        </w:rPr>
        <w:t xml:space="preserve"/>
      </w:r>
    </w:p>
    <w:p>
      <w:pPr>
        <w:pStyle w:val="ListParagraph"/>
        <w:numPr>
          <w:ilvl w:val="0"/>
          <w:numId w:val="1"/>
        </w:numPr>
        <w:spacing w:after="60" w:before="60"/>
      </w:pPr>
      <w:r>
        <w:rPr>
          <w:rFonts w:ascii="Calibri" w:cs="Calibri" w:eastAsia="Calibri" w:hAnsi="Calibri"/>
          <w:sz w:val="22"/>
          <w:szCs w:val="22"/>
        </w:rPr>
        <w:t xml:space="preserve">373 members are currently on GLP-1 medications through the County's medical plan</w:t>
      </w:r>
    </w:p>
    <w:p>
      <w:pPr>
        <w:pStyle w:val="ListParagraph"/>
        <w:numPr>
          <w:ilvl w:val="0"/>
          <w:numId w:val="1"/>
        </w:numPr>
        <w:spacing w:after="60" w:before="60"/>
      </w:pPr>
      <w:r>
        <w:rPr>
          <w:rFonts w:ascii="Calibri" w:cs="Calibri" w:eastAsia="Calibri" w:hAnsi="Calibri"/>
          <w:sz w:val="22"/>
          <w:szCs w:val="22"/>
        </w:rPr>
        <w:t xml:space="preserve">705 members used a GLP-1 in the past 12 months</w:t>
      </w:r>
    </w:p>
    <w:p>
      <w:pPr>
        <w:pStyle w:val="ListParagraph"/>
        <w:numPr>
          <w:ilvl w:val="0"/>
          <w:numId w:val="1"/>
        </w:numPr>
        <w:spacing w:after="60" w:before="60"/>
      </w:pPr>
      <w:r>
        <w:rPr>
          <w:rFonts w:ascii="Calibri" w:cs="Calibri" w:eastAsia="Calibri" w:hAnsi="Calibri"/>
          <w:sz w:val="22"/>
          <w:szCs w:val="22"/>
        </w:rPr>
        <w:t xml:space="preserve">The County's only current GLP-1 cost-containment tool is OptumRx prior authorization</w:t>
      </w:r>
    </w:p>
    <w:p>
      <w:r>
        <w:rPr>
          <w:rFonts w:ascii="Calibri" w:cs="Calibri" w:eastAsia="Calibri" w:hAnsi="Calibri"/>
          <w:sz w:val="22"/>
          <w:szCs w:val="22"/>
        </w:rPr>
        <w:t xml:space="preserve"/>
      </w:r>
    </w:p>
    <w:p>
      <w:pPr>
        <w:spacing w:after="80" w:before="80"/>
      </w:pPr>
      <w:r>
        <w:rPr>
          <w:rFonts w:ascii="Calibri" w:cs="Calibri" w:eastAsia="Calibri" w:hAnsi="Calibri"/>
          <w:sz w:val="22"/>
          <w:szCs w:val="22"/>
        </w:rPr>
        <w:t xml:space="preserve">Three observations follow:</w:t>
      </w:r>
    </w:p>
    <w:p>
      <w:r>
        <w:rPr>
          <w:rFonts w:ascii="Calibri" w:cs="Calibri" w:eastAsia="Calibri" w:hAnsi="Calibri"/>
          <w:sz w:val="22"/>
          <w:szCs w:val="22"/>
        </w:rPr>
        <w:t xml:space="preserve"/>
      </w:r>
    </w:p>
    <w:p>
      <w:pPr>
        <w:spacing w:after="80" w:before="80"/>
      </w:pPr>
      <w:r>
        <w:rPr>
          <w:rFonts w:ascii="Calibri" w:cs="Calibri" w:eastAsia="Calibri" w:hAnsi="Calibri"/>
          <w:b/>
          <w:bCs/>
          <w:sz w:val="22"/>
          <w:szCs w:val="22"/>
        </w:rPr>
        <w:t xml:space="preserve">(a) The County is already spending heavily on GLP-1 medications.</w:t>
      </w:r>
      <w:r>
        <w:rPr>
          <w:rFonts w:ascii="Calibri" w:cs="Calibri" w:eastAsia="Calibri" w:hAnsi="Calibri"/>
          <w:sz w:val="22"/>
          <w:szCs w:val="22"/>
        </w:rPr>
        <w:t xml:space="preserve"> At the conservative unmanaged rate of $13,800/patient/year (RAND 2023), 373 current members represent approximately $5.15M per year in GLP-1 pharmacy spend with zero clinical wraparound.</w:t>
      </w:r>
    </w:p>
    <w:p>
      <w:r>
        <w:rPr>
          <w:rFonts w:ascii="Calibri" w:cs="Calibri" w:eastAsia="Calibri" w:hAnsi="Calibri"/>
          <w:sz w:val="22"/>
          <w:szCs w:val="22"/>
        </w:rPr>
        <w:t xml:space="preserve"/>
      </w:r>
    </w:p>
    <w:p>
      <w:pPr>
        <w:spacing w:after="80" w:before="80"/>
      </w:pPr>
      <w:r>
        <w:rPr>
          <w:rFonts w:ascii="Calibri" w:cs="Calibri" w:eastAsia="Calibri" w:hAnsi="Calibri"/>
          <w:b/>
          <w:bCs/>
          <w:sz w:val="22"/>
          <w:szCs w:val="22"/>
        </w:rPr>
        <w:t xml:space="preserve">(b) The 47% attrition rate is the smoking gun.</w:t>
      </w:r>
      <w:r>
        <w:rPr>
          <w:rFonts w:ascii="Calibri" w:cs="Calibri" w:eastAsia="Calibri" w:hAnsi="Calibri"/>
          <w:sz w:val="22"/>
          <w:szCs w:val="22"/>
        </w:rPr>
        <w:t xml:space="preserve"> 705 members started a GLP-1 in the past twelve months but only 373 are on therapy today. That ~47% discontinuation rate is consistent with published real-world GLP-1 adherence data and is the textbook signature of unmanaged GLP-1 therapy.</w:t>
      </w:r>
    </w:p>
    <w:p>
      <w:r>
        <w:rPr>
          <w:rFonts w:ascii="Calibri" w:cs="Calibri" w:eastAsia="Calibri" w:hAnsi="Calibri"/>
          <w:sz w:val="22"/>
          <w:szCs w:val="22"/>
        </w:rPr>
        <w:t xml:space="preserve"/>
      </w:r>
    </w:p>
    <w:p>
      <w:pPr>
        <w:spacing w:after="80" w:before="80"/>
      </w:pPr>
      <w:r>
        <w:rPr>
          <w:rFonts w:ascii="Calibri" w:cs="Calibri" w:eastAsia="Calibri" w:hAnsi="Calibri"/>
          <w:b/>
          <w:bCs/>
          <w:sz w:val="22"/>
          <w:szCs w:val="22"/>
        </w:rPr>
        <w:t xml:space="preserve">(c) The managed-protocol savings opportunity is approximately $2.09M per year.</w:t>
      </w:r>
      <w:r>
        <w:rPr>
          <w:rFonts w:ascii="Calibri" w:cs="Calibri" w:eastAsia="Calibri" w:hAnsi="Calibri"/>
          <w:sz w:val="22"/>
          <w:szCs w:val="22"/>
        </w:rPr>
        <w:t xml:space="preserve"> At RAND's conservative $5,600-per-patient savings differential, migrating the 373 current users captures approximately $2.09M annually — nearly funding the entire $1.71M Year-1 program cost.</w:t>
      </w:r>
    </w:p>
    <w:p>
      <w:r>
        <w:rPr>
          <w:rFonts w:ascii="Calibri" w:cs="Calibri" w:eastAsia="Calibri" w:hAnsi="Calibri"/>
          <w:sz w:val="22"/>
          <w:szCs w:val="22"/>
        </w:rPr>
        <w:t xml:space="preserve"/>
      </w:r>
    </w:p>
    <w:p>
      <w:pPr>
        <w:spacing w:after="120" w:before="240"/>
      </w:pPr>
      <w:r>
        <w:rPr>
          <w:rFonts w:ascii="Calibri" w:cs="Calibri" w:eastAsia="Calibri" w:hAnsi="Calibri"/>
          <w:b/>
          <w:bCs/>
          <w:color w:val="333333"/>
          <w:sz w:val="24"/>
          <w:szCs w:val="24"/>
        </w:rPr>
        <w:t xml:space="preserve">A.2 The County has named its own incumbent strategy as insufficient</w:t>
      </w:r>
    </w:p>
    <w:p>
      <w:r>
        <w:rPr>
          <w:rFonts w:ascii="Calibri" w:cs="Calibri" w:eastAsia="Calibri" w:hAnsi="Calibri"/>
          <w:sz w:val="22"/>
          <w:szCs w:val="22"/>
        </w:rPr>
        <w:t xml:space="preserve"/>
      </w:r>
    </w:p>
    <w:p>
      <w:pPr>
        <w:spacing w:after="80" w:before="80"/>
      </w:pPr>
      <w:r>
        <w:rPr>
          <w:rFonts w:ascii="Calibri" w:cs="Calibri" w:eastAsia="Calibri" w:hAnsi="Calibri"/>
          <w:sz w:val="22"/>
          <w:szCs w:val="22"/>
        </w:rPr>
        <w:t xml:space="preserve">The Addendum states verbatim: "Current cost containment is tied to prior authorization program with PBM." The 47% attrition rate demonstrates that prior authorization alone is not converting pharmacy spend into outcomes. The Addendum further clarifies the County's preference: "A broader support-focused program centered around outcomes, health coaching participation, and sustainable lifestyle changes." The County explicitly rejected a compliance-focused program.</w:t>
      </w:r>
    </w:p>
    <w:p>
      <w:r>
        <w:rPr>
          <w:rFonts w:ascii="Calibri" w:cs="Calibri" w:eastAsia="Calibri" w:hAnsi="Calibri"/>
          <w:sz w:val="22"/>
          <w:szCs w:val="22"/>
        </w:rPr>
        <w:t xml:space="preserve"/>
      </w:r>
    </w:p>
    <w:p>
      <w:pPr>
        <w:spacing w:after="120" w:before="240"/>
      </w:pPr>
      <w:r>
        <w:rPr>
          <w:rFonts w:ascii="Calibri" w:cs="Calibri" w:eastAsia="Calibri" w:hAnsi="Calibri"/>
          <w:b/>
          <w:bCs/>
          <w:color w:val="333333"/>
          <w:sz w:val="24"/>
          <w:szCs w:val="24"/>
        </w:rPr>
        <w:t xml:space="preserve">A.3 The County is buying program design, not administration</w:t>
      </w:r>
    </w:p>
    <w:p>
      <w:r>
        <w:rPr>
          <w:rFonts w:ascii="Calibri" w:cs="Calibri" w:eastAsia="Calibri" w:hAnsi="Calibri"/>
          <w:sz w:val="22"/>
          <w:szCs w:val="22"/>
        </w:rPr>
        <w:t xml:space="preserve"/>
      </w:r>
    </w:p>
    <w:p>
      <w:pPr>
        <w:spacing w:after="80" w:before="80"/>
      </w:pPr>
      <w:r>
        <w:rPr>
          <w:rFonts w:ascii="Calibri" w:cs="Calibri" w:eastAsia="Calibri" w:hAnsi="Calibri"/>
          <w:sz w:val="22"/>
          <w:szCs w:val="22"/>
        </w:rPr>
        <w:t xml:space="preserve">The Addendum confirms: "Recommend and design a comprehensive solution." The Addendum also confirms that either clinical model is acceptable: prescribing physicians on the vendor's staff OR NBHWC-credentialed coaches supporting members' own prescribers. Vitality offers both within a single integrated program — Dr. Love as the in-program prescribing lead, Dr. Vann's coaching model for members who stay with their existing PCP.</w:t>
      </w:r>
    </w:p>
    <w:p>
      <w:r>
        <w:rPr>
          <w:rFonts w:ascii="Calibri" w:cs="Calibri" w:eastAsia="Calibri" w:hAnsi="Calibri"/>
          <w:sz w:val="22"/>
          <w:szCs w:val="22"/>
        </w:rPr>
        <w:t xml:space="preserve"/>
      </w:r>
    </w:p>
    <w:p>
      <w:pPr>
        <w:spacing w:after="120" w:before="240"/>
      </w:pPr>
      <w:r>
        <w:rPr>
          <w:rFonts w:ascii="Calibri" w:cs="Calibri" w:eastAsia="Calibri" w:hAnsi="Calibri"/>
          <w:b/>
          <w:bCs/>
          <w:color w:val="333333"/>
          <w:sz w:val="24"/>
          <w:szCs w:val="24"/>
        </w:rPr>
        <w:t xml:space="preserve">A.4 The eligible population is materially larger than typical estimates</w:t>
      </w:r>
    </w:p>
    <w:p>
      <w:r>
        <w:rPr>
          <w:rFonts w:ascii="Calibri" w:cs="Calibri" w:eastAsia="Calibri" w:hAnsi="Calibri"/>
          <w:sz w:val="22"/>
          <w:szCs w:val="22"/>
        </w:rPr>
        <w:t xml:space="preserve"/>
      </w:r>
    </w:p>
    <w:tbl>
      <w:tblPr>
        <w:tblW w:type="pct" w:w="100%"/>
        <w:tblBorders>
          <w:top w:val="single" w:color="BFBFBF" w:sz="4"/>
          <w:left w:val="single" w:color="BFBFBF" w:sz="4"/>
          <w:bottom w:val="single" w:color="BFBFBF" w:sz="4"/>
          <w:right w:val="single" w:color="BFBFBF" w:sz="4"/>
          <w:insideH w:val="single" w:color="D9D9D9" w:sz="2"/>
          <w:insideV w:val="single" w:color="D9D9D9" w:sz="2"/>
        </w:tblBorders>
      </w:tblPr>
      <w:tblGrid>
        <w:gridCol w:w="100"/>
        <w:gridCol w:w="100"/>
      </w:tblGrid>
      <w:tr>
        <w:trPr>
          <w:tblHeader/>
        </w:trPr>
        <w:tc>
          <w:tcPr>
            <w:tcW w:type="pct" w:w="50%"/>
            <w:shd w:fill="0F4C81"/>
            <w:tcMar>
              <w:top w:type="dxa" w:w="80"/>
              <w:left w:type="dxa" w:w="100"/>
              <w:bottom w:type="dxa" w:w="80"/>
              <w:right w:type="dxa" w:w="100"/>
            </w:tcMar>
          </w:tcPr>
          <w:p>
            <w:pPr>
              <w:spacing w:after="40" w:before="40"/>
            </w:pPr>
            <w:r>
              <w:rPr>
                <w:rFonts w:ascii="Calibri" w:cs="Calibri" w:eastAsia="Calibri" w:hAnsi="Calibri"/>
                <w:b/>
                <w:bCs/>
                <w:color w:val="FFFFFF"/>
                <w:sz w:val="20"/>
                <w:szCs w:val="20"/>
              </w:rPr>
              <w:t xml:space="preserve">Metric</w:t>
            </w:r>
          </w:p>
        </w:tc>
        <w:tc>
          <w:tcPr>
            <w:tcW w:type="pct" w:w="50%"/>
            <w:shd w:fill="0F4C81"/>
            <w:tcMar>
              <w:top w:type="dxa" w:w="80"/>
              <w:left w:type="dxa" w:w="100"/>
              <w:bottom w:type="dxa" w:w="80"/>
              <w:right w:type="dxa" w:w="100"/>
            </w:tcMar>
          </w:tcPr>
          <w:p>
            <w:pPr>
              <w:spacing w:after="40" w:before="40"/>
            </w:pPr>
            <w:r>
              <w:rPr>
                <w:rFonts w:ascii="Calibri" w:cs="Calibri" w:eastAsia="Calibri" w:hAnsi="Calibri"/>
                <w:b/>
                <w:bCs/>
                <w:color w:val="FFFFFF"/>
                <w:sz w:val="20"/>
                <w:szCs w:val="20"/>
              </w:rPr>
              <w:t xml:space="preserve">County figure</w:t>
            </w:r>
          </w:p>
        </w:tc>
      </w:tr>
      <w:tr>
        <w:tc>
          <w:tcPr>
            <w:tcW w:type="pct" w:w="50%"/>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Total members enrolled (all ages)</w:t>
            </w:r>
          </w:p>
        </w:tc>
        <w:tc>
          <w:tcPr>
            <w:tcW w:type="pct" w:w="50%"/>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5,871</w:t>
            </w:r>
          </w:p>
        </w:tc>
      </w:tr>
      <w:tr>
        <w:tc>
          <w:tcPr>
            <w:tcW w:type="pct" w:w="50%"/>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Eligible adults (EE + dependents 18+)</w:t>
            </w:r>
          </w:p>
        </w:tc>
        <w:tc>
          <w:tcPr>
            <w:tcW w:type="pct" w:w="50%"/>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4,213</w:t>
            </w:r>
          </w:p>
        </w:tc>
      </w:tr>
      <w:tr>
        <w:tc>
          <w:tcPr>
            <w:tcW w:type="pct" w:w="50%"/>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Female share</w:t>
            </w:r>
          </w:p>
        </w:tc>
        <w:tc>
          <w:tcPr>
            <w:tcW w:type="pct" w:w="50%"/>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53%</w:t>
            </w:r>
          </w:p>
        </w:tc>
      </w:tr>
      <w:tr>
        <w:tc>
          <w:tcPr>
            <w:tcW w:type="pct" w:w="50%"/>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Currently on GLP-1</w:t>
            </w:r>
          </w:p>
        </w:tc>
        <w:tc>
          <w:tcPr>
            <w:tcW w:type="pct" w:w="50%"/>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373 (6.3% of enrolled)</w:t>
            </w:r>
          </w:p>
        </w:tc>
      </w:tr>
      <w:tr>
        <w:tc>
          <w:tcPr>
            <w:tcW w:type="pct" w:w="50%"/>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Past-year GLP-1 users</w:t>
            </w:r>
          </w:p>
        </w:tc>
        <w:tc>
          <w:tcPr>
            <w:tcW w:type="pct" w:w="50%"/>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705 (12.0% of enrolled)</w:t>
            </w:r>
          </w:p>
        </w:tc>
      </w:tr>
      <w:tr>
        <w:tc>
          <w:tcPr>
            <w:tcW w:type="pct" w:w="50%"/>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BMI ≥ 30 count</w:t>
            </w:r>
          </w:p>
        </w:tc>
        <w:tc>
          <w:tcPr>
            <w:tcW w:type="pct" w:w="50%"/>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Unavailable from carrier</w:t>
            </w:r>
          </w:p>
        </w:tc>
      </w:tr>
      <w:tr>
        <w:tc>
          <w:tcPr>
            <w:tcW w:type="pct" w:w="50%"/>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Modeled at-risk adults (CDC 36.2%)</w:t>
            </w:r>
          </w:p>
        </w:tc>
        <w:tc>
          <w:tcPr>
            <w:tcW w:type="pct" w:w="50%"/>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~1,525</w:t>
            </w:r>
          </w:p>
        </w:tc>
      </w:tr>
      <w:tr>
        <w:tc>
          <w:tcPr>
            <w:tcW w:type="pct" w:w="50%"/>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Target Vitality enrollment</w:t>
            </w:r>
          </w:p>
        </w:tc>
        <w:tc>
          <w:tcPr>
            <w:tcW w:type="pct" w:w="50%"/>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534 (35%)</w:t>
            </w:r>
          </w:p>
        </w:tc>
      </w:tr>
      <w:tr>
        <w:tc>
          <w:tcPr>
            <w:tcW w:type="pct" w:w="50%"/>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Year-1 program cost (lifestyle baseline)</w:t>
            </w:r>
          </w:p>
        </w:tc>
        <w:tc>
          <w:tcPr>
            <w:tcW w:type="pct" w:w="50%"/>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~$1.71M</w:t>
            </w:r>
          </w:p>
        </w:tc>
      </w:tr>
      <w:tr>
        <w:tc>
          <w:tcPr>
            <w:tcW w:type="pct" w:w="50%"/>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Status-quo annual cost of at-risk cohort</w:t>
            </w:r>
          </w:p>
        </w:tc>
        <w:tc>
          <w:tcPr>
            <w:tcW w:type="pct" w:w="50%"/>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~$4.02M/yr</w:t>
            </w:r>
          </w:p>
        </w:tc>
      </w:tr>
    </w:tbl>
    <w:p>
      <w:r>
        <w:rPr>
          <w:rFonts w:ascii="Calibri" w:cs="Calibri" w:eastAsia="Calibri" w:hAnsi="Calibri"/>
          <w:sz w:val="22"/>
          <w:szCs w:val="22"/>
        </w:rPr>
        <w:t xml:space="preserve"/>
      </w:r>
    </w:p>
    <w:p>
      <w:r>
        <w:rPr>
          <w:rFonts w:ascii="Calibri" w:cs="Calibri" w:eastAsia="Calibri" w:hAnsi="Calibri"/>
          <w:sz w:val="22"/>
          <w:szCs w:val="22"/>
        </w:rPr>
        <w:t xml:space="preserve"/>
      </w:r>
    </w:p>
    <w:p>
      <w:pPr>
        <w:spacing w:after="80" w:before="80"/>
      </w:pPr>
      <w:r>
        <w:rPr>
          <w:rFonts w:ascii="Calibri" w:cs="Calibri" w:eastAsia="Calibri" w:hAnsi="Calibri"/>
          <w:sz w:val="22"/>
          <w:szCs w:val="22"/>
        </w:rPr>
        <w:t xml:space="preserve">The Addendum's disclosure that "BMI ≥ 30 count: information unavailable through carrier" is significant. Any vendor claiming precise BMI-distribution-based outcome forecasts is bluffing — the source data does not exist within the carrier's reporting. Vitality's CDC PLACES anchored modeling is the only defensible approach.</w:t>
      </w:r>
    </w:p>
    <w:p>
      <w:r>
        <w:rPr>
          <w:rFonts w:ascii="Calibri" w:cs="Calibri" w:eastAsia="Calibri" w:hAnsi="Calibri"/>
          <w:sz w:val="22"/>
          <w:szCs w:val="22"/>
        </w:rPr>
        <w:t xml:space="preserve"/>
      </w:r>
    </w:p>
    <w:p>
      <w:pPr>
        <w:spacing w:after="120" w:before="240"/>
      </w:pPr>
      <w:r>
        <w:rPr>
          <w:rFonts w:ascii="Calibri" w:cs="Calibri" w:eastAsia="Calibri" w:hAnsi="Calibri"/>
          <w:b/>
          <w:bCs/>
          <w:color w:val="333333"/>
          <w:sz w:val="24"/>
          <w:szCs w:val="24"/>
        </w:rPr>
        <w:t xml:space="preserve">A.5 The competitive landscape, fully visible</w:t>
      </w:r>
    </w:p>
    <w:p>
      <w:r>
        <w:rPr>
          <w:rFonts w:ascii="Calibri" w:cs="Calibri" w:eastAsia="Calibri" w:hAnsi="Calibri"/>
          <w:sz w:val="22"/>
          <w:szCs w:val="22"/>
        </w:rPr>
        <w:t xml:space="preserve"/>
      </w:r>
    </w:p>
    <w:tbl>
      <w:tblPr>
        <w:tblW w:type="pct" w:w="100%"/>
        <w:tblBorders>
          <w:top w:val="single" w:color="BFBFBF" w:sz="4"/>
          <w:left w:val="single" w:color="BFBFBF" w:sz="4"/>
          <w:bottom w:val="single" w:color="BFBFBF" w:sz="4"/>
          <w:right w:val="single" w:color="BFBFBF" w:sz="4"/>
          <w:insideH w:val="single" w:color="D9D9D9" w:sz="2"/>
          <w:insideV w:val="single" w:color="D9D9D9" w:sz="2"/>
        </w:tblBorders>
      </w:tblPr>
      <w:tblGrid>
        <w:gridCol w:w="100"/>
        <w:gridCol w:w="100"/>
      </w:tblGrid>
      <w:tr>
        <w:trPr>
          <w:tblHeader/>
        </w:trPr>
        <w:tc>
          <w:tcPr>
            <w:tcW w:type="pct" w:w="50%"/>
            <w:shd w:fill="0F4C81"/>
            <w:tcMar>
              <w:top w:type="dxa" w:w="80"/>
              <w:left w:type="dxa" w:w="100"/>
              <w:bottom w:type="dxa" w:w="80"/>
              <w:right w:type="dxa" w:w="100"/>
            </w:tcMar>
          </w:tcPr>
          <w:p>
            <w:pPr>
              <w:spacing w:after="40" w:before="40"/>
            </w:pPr>
            <w:r>
              <w:rPr>
                <w:rFonts w:ascii="Calibri" w:cs="Calibri" w:eastAsia="Calibri" w:hAnsi="Calibri"/>
                <w:b/>
                <w:bCs/>
                <w:color w:val="FFFFFF"/>
                <w:sz w:val="20"/>
                <w:szCs w:val="20"/>
              </w:rPr>
              <w:t xml:space="preserve">Confirmed in Addendum #2</w:t>
            </w:r>
          </w:p>
        </w:tc>
        <w:tc>
          <w:tcPr>
            <w:tcW w:type="pct" w:w="50%"/>
            <w:shd w:fill="0F4C81"/>
            <w:tcMar>
              <w:top w:type="dxa" w:w="80"/>
              <w:left w:type="dxa" w:w="100"/>
              <w:bottom w:type="dxa" w:w="80"/>
              <w:right w:type="dxa" w:w="100"/>
            </w:tcMar>
          </w:tcPr>
          <w:p>
            <w:pPr>
              <w:spacing w:after="40" w:before="40"/>
            </w:pPr>
            <w:r>
              <w:rPr>
                <w:rFonts w:ascii="Calibri" w:cs="Calibri" w:eastAsia="Calibri" w:hAnsi="Calibri"/>
                <w:b/>
                <w:bCs/>
                <w:color w:val="FFFFFF"/>
                <w:sz w:val="20"/>
                <w:szCs w:val="20"/>
              </w:rPr>
              <w:t xml:space="preserve">Strategic implication</w:t>
            </w:r>
          </w:p>
        </w:tc>
      </w:tr>
      <w:tr>
        <w:tc>
          <w:tcPr>
            <w:tcW w:type="pct" w:w="50%"/>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No incumbent weight-management vendor</w:t>
            </w:r>
          </w:p>
        </w:tc>
        <w:tc>
          <w:tcPr>
            <w:tcW w:type="pct" w:w="50%"/>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True greenfield; no displacement story</w:t>
            </w:r>
          </w:p>
        </w:tc>
      </w:tr>
      <w:tr>
        <w:tc>
          <w:tcPr>
            <w:tcW w:type="pct" w:w="50%"/>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Broker: IMA</w:t>
            </w:r>
          </w:p>
        </w:tc>
        <w:tc>
          <w:tcPr>
            <w:tcW w:type="pct" w:w="50%"/>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IMA will be present at evaluation; partner, not gatekeeper</w:t>
            </w:r>
          </w:p>
        </w:tc>
      </w:tr>
      <w:tr>
        <w:tc>
          <w:tcPr>
            <w:tcW w:type="pct" w:w="50%"/>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Wellness incumbent: Rally (via UHC)</w:t>
            </w:r>
          </w:p>
        </w:tc>
        <w:tc>
          <w:tcPr>
            <w:tcW w:type="pct" w:w="50%"/>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We coexist; we do not replace</w:t>
            </w:r>
          </w:p>
        </w:tc>
      </w:tr>
      <w:tr>
        <w:tc>
          <w:tcPr>
            <w:tcW w:type="pct" w:w="50%"/>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TPA: UnitedHealthcare (Group #902769)</w:t>
            </w:r>
          </w:p>
        </w:tc>
        <w:tc>
          <w:tcPr>
            <w:tcW w:type="pct" w:w="50%"/>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Known integration surfaces; low risk</w:t>
            </w:r>
          </w:p>
        </w:tc>
      </w:tr>
      <w:tr>
        <w:tc>
          <w:tcPr>
            <w:tcW w:type="pct" w:w="50%"/>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PBM: OptumRx</w:t>
            </w:r>
          </w:p>
        </w:tc>
        <w:tc>
          <w:tcPr>
            <w:tcW w:type="pct" w:w="50%"/>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Standard pharmacy feeds available</w:t>
            </w:r>
          </w:p>
        </w:tc>
      </w:tr>
      <w:tr>
        <w:tc>
          <w:tcPr>
            <w:tcW w:type="pct" w:w="50%"/>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No fixed budget; "focused on cost savings"</w:t>
            </w:r>
          </w:p>
        </w:tc>
        <w:tc>
          <w:tcPr>
            <w:tcW w:type="pct" w:w="50%"/>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Value-based pitch wins</w:t>
            </w:r>
          </w:p>
        </w:tc>
      </w:tr>
      <w:tr>
        <w:tc>
          <w:tcPr>
            <w:tcW w:type="pct" w:w="50%"/>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Virtual only</w:t>
            </w:r>
          </w:p>
        </w:tc>
        <w:tc>
          <w:tcPr>
            <w:tcW w:type="pct" w:w="50%"/>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PWA-native; competitors with onsite are overspending</w:t>
            </w:r>
          </w:p>
        </w:tc>
      </w:tr>
      <w:tr>
        <w:tc>
          <w:tcPr>
            <w:tcW w:type="pct" w:w="50%"/>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Adults 18+</w:t>
            </w:r>
          </w:p>
        </w:tc>
        <w:tc>
          <w:tcPr>
            <w:tcW w:type="pct" w:w="50%"/>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Simplified clinical scope</w:t>
            </w:r>
          </w:p>
        </w:tc>
      </w:tr>
      <w:tr>
        <w:tc>
          <w:tcPr>
            <w:tcW w:type="pct" w:w="50%"/>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"Network access" = integration capability</w:t>
            </w:r>
          </w:p>
        </w:tc>
        <w:tc>
          <w:tcPr>
            <w:tcW w:type="pct" w:w="50%"/>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Reframes as a Vitality strength</w:t>
            </w:r>
          </w:p>
        </w:tc>
      </w:tr>
    </w:tbl>
    <w:p>
      <w:r>
        <w:rPr>
          <w:rFonts w:ascii="Calibri" w:cs="Calibri" w:eastAsia="Calibri" w:hAnsi="Calibri"/>
          <w:sz w:val="22"/>
          <w:szCs w:val="22"/>
        </w:rPr>
        <w:t xml:space="preserve"/>
      </w:r>
    </w:p>
    <w:p>
      <w:r>
        <w:rPr>
          <w:rFonts w:ascii="Calibri" w:cs="Calibri" w:eastAsia="Calibri" w:hAnsi="Calibri"/>
          <w:sz w:val="22"/>
          <w:szCs w:val="22"/>
        </w:rPr>
        <w:t xml:space="preserve"/>
      </w:r>
    </w:p>
    <w:p>
      <w:pPr>
        <w:spacing w:after="120" w:before="240"/>
      </w:pPr>
      <w:r>
        <w:rPr>
          <w:rFonts w:ascii="Calibri" w:cs="Calibri" w:eastAsia="Calibri" w:hAnsi="Calibri"/>
          <w:b/>
          <w:bCs/>
          <w:color w:val="333333"/>
          <w:sz w:val="24"/>
          <w:szCs w:val="24"/>
        </w:rPr>
        <w:t xml:space="preserve">A.6 The KPIs the County named, in order</w:t>
      </w:r>
    </w:p>
    <w:p>
      <w:r>
        <w:rPr>
          <w:rFonts w:ascii="Calibri" w:cs="Calibri" w:eastAsia="Calibri" w:hAnsi="Calibri"/>
          <w:sz w:val="22"/>
          <w:szCs w:val="22"/>
        </w:rPr>
        <w:t xml:space="preserve"/>
      </w:r>
    </w:p>
    <w:p>
      <w:pPr>
        <w:pStyle w:val="ListParagraph"/>
        <w:numPr>
          <w:ilvl w:val="0"/>
          <w:numId w:val="2"/>
        </w:numPr>
        <w:spacing w:after="60" w:before="60"/>
      </w:pPr>
      <w:r>
        <w:rPr>
          <w:rFonts w:ascii="Calibri" w:cs="Calibri" w:eastAsia="Calibri" w:hAnsi="Calibri"/>
          <w:b/>
          <w:bCs/>
          <w:sz w:val="22"/>
          <w:szCs w:val="22"/>
        </w:rPr>
        <w:t xml:space="preserve">Continued member engagement</w:t>
      </w:r>
      <w:r>
        <w:rPr>
          <w:rFonts w:ascii="Calibri" w:cs="Calibri" w:eastAsia="Calibri" w:hAnsi="Calibri"/>
          <w:sz w:val="22"/>
          <w:szCs w:val="22"/>
        </w:rPr>
        <w:t xml:space="preserve"> — VITA AI persistent-memory advisor + Dr. Vann's behavioral cadence</w:t>
      </w:r>
    </w:p>
    <w:p>
      <w:pPr>
        <w:pStyle w:val="ListParagraph"/>
        <w:numPr>
          <w:ilvl w:val="0"/>
          <w:numId w:val="2"/>
        </w:numPr>
        <w:spacing w:after="60" w:before="60"/>
      </w:pPr>
      <w:r>
        <w:rPr>
          <w:rFonts w:ascii="Calibri" w:cs="Calibri" w:eastAsia="Calibri" w:hAnsi="Calibri"/>
          <w:b/>
          <w:bCs/>
          <w:sz w:val="22"/>
          <w:szCs w:val="22"/>
        </w:rPr>
        <w:t xml:space="preserve">Proper use of GLP-1 medications</w:t>
      </w:r>
      <w:r>
        <w:rPr>
          <w:rFonts w:ascii="Calibri" w:cs="Calibri" w:eastAsia="Calibri" w:hAnsi="Calibri"/>
          <w:sz w:val="22"/>
          <w:szCs w:val="22"/>
        </w:rPr>
        <w:t xml:space="preserve"> — Dr. Love's clinical protocol with titration and adherence monitoring</w:t>
      </w:r>
    </w:p>
    <w:p>
      <w:pPr>
        <w:pStyle w:val="ListParagraph"/>
        <w:numPr>
          <w:ilvl w:val="0"/>
          <w:numId w:val="2"/>
        </w:numPr>
        <w:spacing w:after="60" w:before="60"/>
      </w:pPr>
      <w:r>
        <w:rPr>
          <w:rFonts w:ascii="Calibri" w:cs="Calibri" w:eastAsia="Calibri" w:hAnsi="Calibri"/>
          <w:b/>
          <w:bCs/>
          <w:sz w:val="22"/>
          <w:szCs w:val="22"/>
        </w:rPr>
        <w:t xml:space="preserve">Cost savings</w:t>
      </w:r>
      <w:r>
        <w:rPr>
          <w:rFonts w:ascii="Calibri" w:cs="Calibri" w:eastAsia="Calibri" w:hAnsi="Calibri"/>
          <w:sz w:val="22"/>
          <w:szCs w:val="22"/>
        </w:rPr>
        <w:t xml:space="preserve"> — $2.09M GLP-1 capture + $675K medical + $282K productivity = $3.05M Year-1 opportunity vs. $1.71M cost</w:t>
      </w:r>
    </w:p>
    <w:p>
      <w:r>
        <w:rPr>
          <w:rFonts w:ascii="Calibri" w:cs="Calibri" w:eastAsia="Calibri" w:hAnsi="Calibri"/>
          <w:sz w:val="22"/>
          <w:szCs w:val="22"/>
        </w:rPr>
        <w:t xml:space="preserve"/>
      </w:r>
    </w:p>
    <w:p>
      <w:pPr>
        <w:spacing w:after="80" w:before="80"/>
      </w:pPr>
      <w:r>
        <w:rPr>
          <w:rFonts w:ascii="Calibri" w:cs="Calibri" w:eastAsia="Calibri" w:hAnsi="Calibri"/>
          <w:sz w:val="22"/>
          <w:szCs w:val="22"/>
        </w:rPr>
        <w:t xml:space="preserve">Notably absent: weight-loss percentages, BMI reduction targets, specific clinical biomarkers. The County views these as means, not ends. Vitality's reporting framework presents them as drivers of engagement, GLP-1 use, and savings — never as standalone metrics.</w:t>
      </w:r>
    </w:p>
    <w:p>
      <w:r>
        <w:rPr>
          <w:rFonts w:ascii="Calibri" w:cs="Calibri" w:eastAsia="Calibri" w:hAnsi="Calibri"/>
          <w:sz w:val="22"/>
          <w:szCs w:val="22"/>
        </w:rPr>
        <w:t xml:space="preserve"/>
      </w:r>
    </w:p>
    <w:p>
      <w:pPr>
        <w:spacing w:after="120" w:before="240"/>
      </w:pPr>
      <w:r>
        <w:rPr>
          <w:rFonts w:ascii="Calibri" w:cs="Calibri" w:eastAsia="Calibri" w:hAnsi="Calibri"/>
          <w:b/>
          <w:bCs/>
          <w:color w:val="333333"/>
          <w:sz w:val="24"/>
          <w:szCs w:val="24"/>
        </w:rPr>
        <w:t xml:space="preserve">A.7 Procurement process facts</w:t>
      </w:r>
    </w:p>
    <w:p>
      <w:r>
        <w:rPr>
          <w:rFonts w:ascii="Calibri" w:cs="Calibri" w:eastAsia="Calibri" w:hAnsi="Calibri"/>
          <w:sz w:val="22"/>
          <w:szCs w:val="22"/>
        </w:rPr>
        <w:t xml:space="preserve"/>
      </w:r>
    </w:p>
    <w:p>
      <w:pPr>
        <w:pStyle w:val="ListParagraph"/>
        <w:numPr>
          <w:ilvl w:val="0"/>
          <w:numId w:val="1"/>
        </w:numPr>
        <w:spacing w:after="60" w:before="60"/>
      </w:pPr>
      <w:r>
        <w:rPr>
          <w:rFonts w:ascii="Calibri" w:cs="Calibri" w:eastAsia="Calibri" w:hAnsi="Calibri"/>
          <w:sz w:val="22"/>
          <w:szCs w:val="22"/>
        </w:rPr>
        <w:t xml:space="preserve">Addendum #2 signed by Tammy Culley, Purchasing Agent — all communication routes through her</w:t>
      </w:r>
    </w:p>
    <w:p>
      <w:pPr>
        <w:pStyle w:val="ListParagraph"/>
        <w:numPr>
          <w:ilvl w:val="0"/>
          <w:numId w:val="1"/>
        </w:numPr>
        <w:spacing w:after="60" w:before="60"/>
      </w:pPr>
      <w:r>
        <w:rPr>
          <w:rFonts w:ascii="Calibri" w:cs="Calibri" w:eastAsia="Calibri" w:hAnsi="Calibri"/>
          <w:sz w:val="22"/>
          <w:szCs w:val="22"/>
        </w:rPr>
        <w:t xml:space="preserve">Acknowledgment of Addendum #2 on the RFP response page is mandatory (see Appendix C)</w:t>
      </w:r>
    </w:p>
    <w:p>
      <w:pPr>
        <w:pStyle w:val="ListParagraph"/>
        <w:numPr>
          <w:ilvl w:val="0"/>
          <w:numId w:val="1"/>
        </w:numPr>
        <w:spacing w:after="60" w:before="60"/>
      </w:pPr>
      <w:r>
        <w:rPr>
          <w:rFonts w:ascii="Calibri" w:cs="Calibri" w:eastAsia="Calibri" w:hAnsi="Calibri"/>
          <w:sz w:val="22"/>
          <w:szCs w:val="22"/>
        </w:rPr>
        <w:t xml:space="preserve">Deadline: 1:45 PM CDT, June 2, 2026; no late acceptance</w:t>
      </w:r>
    </w:p>
    <w:p>
      <w:r>
        <w:rPr>
          <w:rFonts w:ascii="Calibri" w:cs="Calibri" w:eastAsia="Calibri" w:hAnsi="Calibri"/>
          <w:sz w:val="22"/>
          <w:szCs w:val="22"/>
        </w:rPr>
        <w:t xml:space="preserve"/>
      </w:r>
    </w:p>
    <w:p>
      <w:pPr>
        <w:spacing w:after="160" w:before="320"/>
      </w:pPr>
      <w:r>
        <w:rPr>
          <w:rFonts w:ascii="Calibri" w:cs="Calibri" w:eastAsia="Calibri" w:hAnsi="Calibri"/>
          <w:b/>
          <w:bCs/>
          <w:color w:val="0F4C81"/>
          <w:sz w:val="28"/>
          <w:szCs w:val="28"/>
        </w:rPr>
        <w:t xml:space="preserve">Appendix B — Reconciled Numbers Source Sheet</w:t>
      </w:r>
    </w:p>
    <w:p>
      <w:r>
        <w:rPr>
          <w:rFonts w:ascii="Calibri" w:cs="Calibri" w:eastAsia="Calibri" w:hAnsi="Calibri"/>
          <w:sz w:val="22"/>
          <w:szCs w:val="22"/>
        </w:rPr>
        <w:t xml:space="preserve"/>
      </w:r>
    </w:p>
    <w:p>
      <w:pPr>
        <w:spacing w:after="80" w:before="80"/>
      </w:pPr>
      <w:r>
        <w:rPr>
          <w:rFonts w:ascii="Calibri" w:cs="Calibri" w:eastAsia="Calibri" w:hAnsi="Calibri"/>
          <w:sz w:val="22"/>
          <w:szCs w:val="22"/>
        </w:rPr>
        <w:t xml:space="preserve">Every numerical figure used in this proposal is drawn from one of three sources: (a) Sedgwick County RFP #26-0028 and its addenda, (b) peer-reviewed published research, or (c) Vitality's reconciled internal pricing and ROI model. The table below provides a single-page audit trail.</w:t>
      </w:r>
    </w:p>
    <w:p>
      <w:r>
        <w:rPr>
          <w:rFonts w:ascii="Calibri" w:cs="Calibri" w:eastAsia="Calibri" w:hAnsi="Calibri"/>
          <w:sz w:val="22"/>
          <w:szCs w:val="22"/>
        </w:rPr>
        <w:t xml:space="preserve"/>
      </w:r>
    </w:p>
    <w:tbl>
      <w:tblPr>
        <w:tblW w:type="pct" w:w="100%"/>
        <w:tblBorders>
          <w:top w:val="single" w:color="BFBFBF" w:sz="4"/>
          <w:left w:val="single" w:color="BFBFBF" w:sz="4"/>
          <w:bottom w:val="single" w:color="BFBFBF" w:sz="4"/>
          <w:right w:val="single" w:color="BFBFBF" w:sz="4"/>
          <w:insideH w:val="single" w:color="D9D9D9" w:sz="2"/>
          <w:insideV w:val="single" w:color="D9D9D9" w:sz="2"/>
        </w:tblBorders>
      </w:tblPr>
      <w:tblGrid>
        <w:gridCol w:w="100"/>
        <w:gridCol w:w="100"/>
        <w:gridCol w:w="100"/>
      </w:tblGrid>
      <w:tr>
        <w:trPr>
          <w:tblHeader/>
        </w:trPr>
        <w:tc>
          <w:tcPr>
            <w:tcW w:type="pct" w:w="33%"/>
            <w:shd w:fill="0F4C81"/>
            <w:tcMar>
              <w:top w:type="dxa" w:w="80"/>
              <w:left w:type="dxa" w:w="100"/>
              <w:bottom w:type="dxa" w:w="80"/>
              <w:right w:type="dxa" w:w="100"/>
            </w:tcMar>
          </w:tcPr>
          <w:p>
            <w:pPr>
              <w:spacing w:after="40" w:before="40"/>
            </w:pPr>
            <w:r>
              <w:rPr>
                <w:rFonts w:ascii="Calibri" w:cs="Calibri" w:eastAsia="Calibri" w:hAnsi="Calibri"/>
                <w:b/>
                <w:bCs/>
                <w:color w:val="FFFFFF"/>
                <w:sz w:val="20"/>
                <w:szCs w:val="20"/>
              </w:rPr>
              <w:t xml:space="preserve">Figure</w:t>
            </w:r>
          </w:p>
        </w:tc>
        <w:tc>
          <w:tcPr>
            <w:tcW w:type="pct" w:w="33%"/>
            <w:shd w:fill="0F4C81"/>
            <w:tcMar>
              <w:top w:type="dxa" w:w="80"/>
              <w:left w:type="dxa" w:w="100"/>
              <w:bottom w:type="dxa" w:w="80"/>
              <w:right w:type="dxa" w:w="100"/>
            </w:tcMar>
          </w:tcPr>
          <w:p>
            <w:pPr>
              <w:spacing w:after="40" w:before="40"/>
            </w:pPr>
            <w:r>
              <w:rPr>
                <w:rFonts w:ascii="Calibri" w:cs="Calibri" w:eastAsia="Calibri" w:hAnsi="Calibri"/>
                <w:b/>
                <w:bCs/>
                <w:color w:val="FFFFFF"/>
                <w:sz w:val="20"/>
                <w:szCs w:val="20"/>
              </w:rPr>
              <w:t xml:space="preserve">Value</w:t>
            </w:r>
          </w:p>
        </w:tc>
        <w:tc>
          <w:tcPr>
            <w:tcW w:type="pct" w:w="33%"/>
            <w:shd w:fill="0F4C81"/>
            <w:tcMar>
              <w:top w:type="dxa" w:w="80"/>
              <w:left w:type="dxa" w:w="100"/>
              <w:bottom w:type="dxa" w:w="80"/>
              <w:right w:type="dxa" w:w="100"/>
            </w:tcMar>
          </w:tcPr>
          <w:p>
            <w:pPr>
              <w:spacing w:after="40" w:before="40"/>
            </w:pPr>
            <w:r>
              <w:rPr>
                <w:rFonts w:ascii="Calibri" w:cs="Calibri" w:eastAsia="Calibri" w:hAnsi="Calibri"/>
                <w:b/>
                <w:bCs/>
                <w:color w:val="FFFFFF"/>
                <w:sz w:val="20"/>
                <w:szCs w:val="20"/>
              </w:rPr>
              <w:t xml:space="preserve">Source</w:t>
            </w:r>
          </w:p>
        </w:tc>
      </w:tr>
      <w:tr>
        <w:tc>
          <w:tcPr>
            <w:tcW w:type="pct" w:w="33%"/>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Total members enrolled on County plans</w:t>
            </w:r>
          </w:p>
        </w:tc>
        <w:tc>
          <w:tcPr>
            <w:tcW w:type="pct" w:w="33%"/>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5,871</w:t>
            </w:r>
          </w:p>
        </w:tc>
        <w:tc>
          <w:tcPr>
            <w:tcW w:type="pct" w:w="33%"/>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RFP #26-0028 Addendum #2</w:t>
            </w:r>
          </w:p>
        </w:tc>
      </w:tr>
      <w:tr>
        <w:tc>
          <w:tcPr>
            <w:tcW w:type="pct" w:w="33%"/>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Eligible adults (EE + dependents 18+)</w:t>
            </w:r>
          </w:p>
        </w:tc>
        <w:tc>
          <w:tcPr>
            <w:tcW w:type="pct" w:w="33%"/>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4,213</w:t>
            </w:r>
          </w:p>
        </w:tc>
        <w:tc>
          <w:tcPr>
            <w:tcW w:type="pct" w:w="33%"/>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RFP #26-0028 Addendum #2</w:t>
            </w:r>
          </w:p>
        </w:tc>
      </w:tr>
      <w:tr>
        <w:tc>
          <w:tcPr>
            <w:tcW w:type="pct" w:w="33%"/>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Female share</w:t>
            </w:r>
          </w:p>
        </w:tc>
        <w:tc>
          <w:tcPr>
            <w:tcW w:type="pct" w:w="33%"/>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53%</w:t>
            </w:r>
          </w:p>
        </w:tc>
        <w:tc>
          <w:tcPr>
            <w:tcW w:type="pct" w:w="33%"/>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RFP #26-0028 Addendum #2</w:t>
            </w:r>
          </w:p>
        </w:tc>
      </w:tr>
      <w:tr>
        <w:tc>
          <w:tcPr>
            <w:tcW w:type="pct" w:w="33%"/>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Currently on GLP-1</w:t>
            </w:r>
          </w:p>
        </w:tc>
        <w:tc>
          <w:tcPr>
            <w:tcW w:type="pct" w:w="33%"/>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373</w:t>
            </w:r>
          </w:p>
        </w:tc>
        <w:tc>
          <w:tcPr>
            <w:tcW w:type="pct" w:w="33%"/>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RFP #26-0028 Addendum #2</w:t>
            </w:r>
          </w:p>
        </w:tc>
      </w:tr>
      <w:tr>
        <w:tc>
          <w:tcPr>
            <w:tcW w:type="pct" w:w="33%"/>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Past-year GLP-1 users</w:t>
            </w:r>
          </w:p>
        </w:tc>
        <w:tc>
          <w:tcPr>
            <w:tcW w:type="pct" w:w="33%"/>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705</w:t>
            </w:r>
          </w:p>
        </w:tc>
        <w:tc>
          <w:tcPr>
            <w:tcW w:type="pct" w:w="33%"/>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RFP #26-0028 Addendum #2</w:t>
            </w:r>
          </w:p>
        </w:tc>
      </w:tr>
      <w:tr>
        <w:tc>
          <w:tcPr>
            <w:tcW w:type="pct" w:w="33%"/>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TPA</w:t>
            </w:r>
          </w:p>
        </w:tc>
        <w:tc>
          <w:tcPr>
            <w:tcW w:type="pct" w:w="33%"/>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UnitedHealthcare (Group #902769)</w:t>
            </w:r>
          </w:p>
        </w:tc>
        <w:tc>
          <w:tcPr>
            <w:tcW w:type="pct" w:w="33%"/>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RFP and Addendum #2</w:t>
            </w:r>
          </w:p>
        </w:tc>
      </w:tr>
      <w:tr>
        <w:tc>
          <w:tcPr>
            <w:tcW w:type="pct" w:w="33%"/>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PBM</w:t>
            </w:r>
          </w:p>
        </w:tc>
        <w:tc>
          <w:tcPr>
            <w:tcW w:type="pct" w:w="33%"/>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OptumRx</w:t>
            </w:r>
          </w:p>
        </w:tc>
        <w:tc>
          <w:tcPr>
            <w:tcW w:type="pct" w:w="33%"/>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RFP and Addendum #2</w:t>
            </w:r>
          </w:p>
        </w:tc>
      </w:tr>
      <w:tr>
        <w:tc>
          <w:tcPr>
            <w:tcW w:type="pct" w:w="33%"/>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Broker</w:t>
            </w:r>
          </w:p>
        </w:tc>
        <w:tc>
          <w:tcPr>
            <w:tcW w:type="pct" w:w="33%"/>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IMA</w:t>
            </w:r>
          </w:p>
        </w:tc>
        <w:tc>
          <w:tcPr>
            <w:tcW w:type="pct" w:w="33%"/>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RFP #26-0028 Addendum #2</w:t>
            </w:r>
          </w:p>
        </w:tc>
      </w:tr>
      <w:tr>
        <w:tc>
          <w:tcPr>
            <w:tcW w:type="pct" w:w="33%"/>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Wellness incumbent</w:t>
            </w:r>
          </w:p>
        </w:tc>
        <w:tc>
          <w:tcPr>
            <w:tcW w:type="pct" w:w="33%"/>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Rally (via UHC)</w:t>
            </w:r>
          </w:p>
        </w:tc>
        <w:tc>
          <w:tcPr>
            <w:tcW w:type="pct" w:w="33%"/>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RFP #26-0028 Addendum #2</w:t>
            </w:r>
          </w:p>
        </w:tc>
      </w:tr>
      <w:tr>
        <w:tc>
          <w:tcPr>
            <w:tcW w:type="pct" w:w="33%"/>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County obesity prevalence</w:t>
            </w:r>
          </w:p>
        </w:tc>
        <w:tc>
          <w:tcPr>
            <w:tcW w:type="pct" w:w="33%"/>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36.2%</w:t>
            </w:r>
          </w:p>
        </w:tc>
        <w:tc>
          <w:tcPr>
            <w:tcW w:type="pct" w:w="33%"/>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CDC PLACES 2023</w:t>
            </w:r>
          </w:p>
        </w:tc>
      </w:tr>
      <w:tr>
        <w:tc>
          <w:tcPr>
            <w:tcW w:type="pct" w:w="33%"/>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Modeled at-risk adults</w:t>
            </w:r>
          </w:p>
        </w:tc>
        <w:tc>
          <w:tcPr>
            <w:tcW w:type="pct" w:w="33%"/>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1,525</w:t>
            </w:r>
          </w:p>
        </w:tc>
        <w:tc>
          <w:tcPr>
            <w:tcW w:type="pct" w:w="33%"/>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Derived: 4,213 × 36.2%</w:t>
            </w:r>
          </w:p>
        </w:tc>
      </w:tr>
      <w:tr>
        <w:tc>
          <w:tcPr>
            <w:tcW w:type="pct" w:w="33%"/>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Target enrollment</w:t>
            </w:r>
          </w:p>
        </w:tc>
        <w:tc>
          <w:tcPr>
            <w:tcW w:type="pct" w:w="33%"/>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534 (35% of at-risk)</w:t>
            </w:r>
          </w:p>
        </w:tc>
        <w:tc>
          <w:tcPr>
            <w:tcW w:type="pct" w:w="33%"/>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Vitality model; industry-standard voluntary uptake</w:t>
            </w:r>
          </w:p>
        </w:tc>
      </w:tr>
      <w:tr>
        <w:tc>
          <w:tcPr>
            <w:tcW w:type="pct" w:w="33%"/>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Lifestyle pathway annual cost</w:t>
            </w:r>
          </w:p>
        </w:tc>
        <w:tc>
          <w:tcPr>
            <w:tcW w:type="pct" w:w="33%"/>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$3,200/member/year</w:t>
            </w:r>
          </w:p>
        </w:tc>
        <w:tc>
          <w:tcPr>
            <w:tcW w:type="pct" w:w="33%"/>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Vitality reconciled pricing</w:t>
            </w:r>
          </w:p>
        </w:tc>
      </w:tr>
      <w:tr>
        <w:tc>
          <w:tcPr>
            <w:tcW w:type="pct" w:w="33%"/>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Blended PEPM (20% GLP-1 mix)</w:t>
            </w:r>
          </w:p>
        </w:tc>
        <w:tc>
          <w:tcPr>
            <w:tcW w:type="pct" w:w="33%"/>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$476–$525</w:t>
            </w:r>
          </w:p>
        </w:tc>
        <w:tc>
          <w:tcPr>
            <w:tcW w:type="pct" w:w="33%"/>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Vitality reconciled pricing</w:t>
            </w:r>
          </w:p>
        </w:tc>
      </w:tr>
      <w:tr>
        <w:tc>
          <w:tcPr>
            <w:tcW w:type="pct" w:w="33%"/>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GLP-1 unmanaged annual cost</w:t>
            </w:r>
          </w:p>
        </w:tc>
        <w:tc>
          <w:tcPr>
            <w:tcW w:type="pct" w:w="33%"/>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$13,800/patient</w:t>
            </w:r>
          </w:p>
        </w:tc>
        <w:tc>
          <w:tcPr>
            <w:tcW w:type="pct" w:w="33%"/>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RAND Corporation 2023 (conservative)</w:t>
            </w:r>
          </w:p>
        </w:tc>
      </w:tr>
      <w:tr>
        <w:tc>
          <w:tcPr>
            <w:tcW w:type="pct" w:w="33%"/>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GLP-1 managed annual cost</w:t>
            </w:r>
          </w:p>
        </w:tc>
        <w:tc>
          <w:tcPr>
            <w:tcW w:type="pct" w:w="33%"/>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$8,200/patient</w:t>
            </w:r>
          </w:p>
        </w:tc>
        <w:tc>
          <w:tcPr>
            <w:tcW w:type="pct" w:w="33%"/>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RAND Corporation 2023 (conservative)</w:t>
            </w:r>
          </w:p>
        </w:tc>
      </w:tr>
      <w:tr>
        <w:tc>
          <w:tcPr>
            <w:tcW w:type="pct" w:w="33%"/>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GLP-1 savings differential</w:t>
            </w:r>
          </w:p>
        </w:tc>
        <w:tc>
          <w:tcPr>
            <w:tcW w:type="pct" w:w="33%"/>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$5,600/patient/year</w:t>
            </w:r>
          </w:p>
        </w:tc>
        <w:tc>
          <w:tcPr>
            <w:tcW w:type="pct" w:w="33%"/>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Derived</w:t>
            </w:r>
          </w:p>
        </w:tc>
      </w:tr>
      <w:tr>
        <w:tc>
          <w:tcPr>
            <w:tcW w:type="pct" w:w="33%"/>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Clinical success rate</w:t>
            </w:r>
          </w:p>
        </w:tc>
        <w:tc>
          <w:tcPr>
            <w:tcW w:type="pct" w:w="33%"/>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68% achieve ≥5% weight loss</w:t>
            </w:r>
          </w:p>
        </w:tc>
        <w:tc>
          <w:tcPr>
            <w:tcW w:type="pct" w:w="33%"/>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NIH/DPP Trial</w:t>
            </w:r>
          </w:p>
        </w:tc>
      </w:tr>
      <w:tr>
        <w:tc>
          <w:tcPr>
            <w:tcW w:type="pct" w:w="33%"/>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Per-success medical savings</w:t>
            </w:r>
          </w:p>
        </w:tc>
        <w:tc>
          <w:tcPr>
            <w:tcW w:type="pct" w:w="33%"/>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$1,861/year</w:t>
            </w:r>
          </w:p>
        </w:tc>
        <w:tc>
          <w:tcPr>
            <w:tcW w:type="pct" w:w="33%"/>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CDC / CMS 2023</w:t>
            </w:r>
          </w:p>
        </w:tc>
      </w:tr>
      <w:tr>
        <w:tc>
          <w:tcPr>
            <w:tcW w:type="pct" w:w="33%"/>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Per-success productivity savings</w:t>
            </w:r>
          </w:p>
        </w:tc>
        <w:tc>
          <w:tcPr>
            <w:tcW w:type="pct" w:w="33%"/>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$778/year (2.73 days × $285/day)</w:t>
            </w:r>
          </w:p>
        </w:tc>
        <w:tc>
          <w:tcPr>
            <w:tcW w:type="pct" w:w="33%"/>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RAND Corporation</w:t>
            </w:r>
          </w:p>
        </w:tc>
      </w:tr>
      <w:tr>
        <w:tc>
          <w:tcPr>
            <w:tcW w:type="pct" w:w="33%"/>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Year-1 program cost (lifestyle baseline)</w:t>
            </w:r>
          </w:p>
        </w:tc>
        <w:tc>
          <w:tcPr>
            <w:tcW w:type="pct" w:w="33%"/>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$1,708,800</w:t>
            </w:r>
          </w:p>
        </w:tc>
        <w:tc>
          <w:tcPr>
            <w:tcW w:type="pct" w:w="33%"/>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534 × $3,200</w:t>
            </w:r>
          </w:p>
        </w:tc>
      </w:tr>
      <w:tr>
        <w:tc>
          <w:tcPr>
            <w:tcW w:type="pct" w:w="33%"/>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GLP-1 capture annual savings</w:t>
            </w:r>
          </w:p>
        </w:tc>
        <w:tc>
          <w:tcPr>
            <w:tcW w:type="pct" w:w="33%"/>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$2,088,800</w:t>
            </w:r>
          </w:p>
        </w:tc>
        <w:tc>
          <w:tcPr>
            <w:tcW w:type="pct" w:w="33%"/>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373 × $5,600</w:t>
            </w:r>
          </w:p>
        </w:tc>
      </w:tr>
      <w:tr>
        <w:tc>
          <w:tcPr>
            <w:tcW w:type="pct" w:w="33%"/>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Lifestyle + clinical annual savings</w:t>
            </w:r>
          </w:p>
        </w:tc>
        <w:tc>
          <w:tcPr>
            <w:tcW w:type="pct" w:w="33%"/>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$957,957</w:t>
            </w:r>
          </w:p>
        </w:tc>
        <w:tc>
          <w:tcPr>
            <w:tcW w:type="pct" w:w="33%"/>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363 × ($1,861 + $778)</w:t>
            </w:r>
          </w:p>
        </w:tc>
      </w:tr>
      <w:tr>
        <w:tc>
          <w:tcPr>
            <w:tcW w:type="pct" w:w="33%"/>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Total Year-1 economic opportunity</w:t>
            </w:r>
          </w:p>
        </w:tc>
        <w:tc>
          <w:tcPr>
            <w:tcW w:type="pct" w:w="33%"/>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$3,046,757</w:t>
            </w:r>
          </w:p>
        </w:tc>
        <w:tc>
          <w:tcPr>
            <w:tcW w:type="pct" w:w="33%"/>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Sum of above</w:t>
            </w:r>
          </w:p>
        </w:tc>
      </w:tr>
      <w:tr>
        <w:tc>
          <w:tcPr>
            <w:tcW w:type="pct" w:w="33%"/>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Status-quo annual cost (at-risk cohort)</w:t>
            </w:r>
          </w:p>
        </w:tc>
        <w:tc>
          <w:tcPr>
            <w:tcW w:type="pct" w:w="33%"/>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$4.02M/yr</w:t>
            </w:r>
          </w:p>
        </w:tc>
        <w:tc>
          <w:tcPr>
            <w:tcW w:type="pct" w:w="33%"/>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1,525 × $2,639</w:t>
            </w:r>
          </w:p>
        </w:tc>
      </w:tr>
      <w:tr>
        <w:tc>
          <w:tcPr>
            <w:tcW w:type="pct" w:w="33%"/>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Multi-year ROI Year 1</w:t>
            </w:r>
          </w:p>
        </w:tc>
        <w:tc>
          <w:tcPr>
            <w:tcW w:type="pct" w:w="33%"/>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0.56x</w:t>
            </w:r>
          </w:p>
        </w:tc>
        <w:tc>
          <w:tcPr>
            <w:tcW w:type="pct" w:w="33%"/>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Vitality model with graduate-savings carryover (85% retention, 3-year tail)</w:t>
            </w:r>
          </w:p>
        </w:tc>
      </w:tr>
      <w:tr>
        <w:tc>
          <w:tcPr>
            <w:tcW w:type="pct" w:w="33%"/>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Multi-year ROI Year 3</w:t>
            </w:r>
          </w:p>
        </w:tc>
        <w:tc>
          <w:tcPr>
            <w:tcW w:type="pct" w:w="33%"/>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1.01x</w:t>
            </w:r>
          </w:p>
        </w:tc>
        <w:tc>
          <w:tcPr>
            <w:tcW w:type="pct" w:w="33%"/>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Vitality model</w:t>
            </w:r>
          </w:p>
        </w:tc>
      </w:tr>
      <w:tr>
        <w:tc>
          <w:tcPr>
            <w:tcW w:type="pct" w:w="33%"/>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Multi-year ROI Year 5</w:t>
            </w:r>
          </w:p>
        </w:tc>
        <w:tc>
          <w:tcPr>
            <w:tcW w:type="pct" w:w="33%"/>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1.32x</w:t>
            </w:r>
          </w:p>
        </w:tc>
        <w:tc>
          <w:tcPr>
            <w:tcW w:type="pct" w:w="33%"/>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Vitality model</w:t>
            </w:r>
          </w:p>
        </w:tc>
      </w:tr>
      <w:tr>
        <w:tc>
          <w:tcPr>
            <w:tcW w:type="pct" w:w="33%"/>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Harvard meta-analysis benchmark</w:t>
            </w:r>
          </w:p>
        </w:tc>
        <w:tc>
          <w:tcPr>
            <w:tcW w:type="pct" w:w="33%"/>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$3.27 return per $1</w:t>
            </w:r>
          </w:p>
        </w:tc>
        <w:tc>
          <w:tcPr>
            <w:tcW w:type="pct" w:w="33%"/>
            <w:tcMar>
              <w:top w:type="dxa" w:w="80"/>
              <w:left w:type="dxa" w:w="100"/>
              <w:bottom w:type="dxa" w:w="80"/>
              <w:right w:type="dxa" w:w="100"/>
            </w:tcMar>
          </w:tcPr>
          <w:p>
            <w:pPr>
              <w:spacing w:after="40" w:before="40"/>
            </w:pPr>
            <w:r>
              <w:rPr>
                <w:rFonts w:ascii="Calibri" w:cs="Calibri" w:eastAsia="Calibri" w:hAnsi="Calibri"/>
                <w:b w:val="false"/>
                <w:bCs w:val="false"/>
                <w:sz w:val="20"/>
                <w:szCs w:val="20"/>
              </w:rPr>
              <w:t xml:space="preserve">Health Affairs 2010 (upper-bound benchmark)</w:t>
            </w:r>
          </w:p>
        </w:tc>
      </w:tr>
    </w:tbl>
    <w:p>
      <w:r>
        <w:rPr>
          <w:rFonts w:ascii="Calibri" w:cs="Calibri" w:eastAsia="Calibri" w:hAnsi="Calibri"/>
          <w:sz w:val="22"/>
          <w:szCs w:val="22"/>
        </w:rPr>
        <w:t xml:space="preserve"/>
      </w:r>
    </w:p>
    <w:p>
      <w:r>
        <w:rPr>
          <w:rFonts w:ascii="Calibri" w:cs="Calibri" w:eastAsia="Calibri" w:hAnsi="Calibri"/>
          <w:sz w:val="22"/>
          <w:szCs w:val="22"/>
        </w:rPr>
        <w:t xml:space="preserve"/>
      </w:r>
    </w:p>
    <w:p>
      <w:pPr>
        <w:spacing w:after="160" w:before="320"/>
      </w:pPr>
      <w:r>
        <w:rPr>
          <w:rFonts w:ascii="Calibri" w:cs="Calibri" w:eastAsia="Calibri" w:hAnsi="Calibri"/>
          <w:b/>
          <w:bCs/>
          <w:color w:val="0F4C81"/>
          <w:sz w:val="28"/>
          <w:szCs w:val="28"/>
        </w:rPr>
        <w:t xml:space="preserve">Appendix C — Acknowledgment of Addenda</w:t>
      </w:r>
    </w:p>
    <w:p>
      <w:r>
        <w:rPr>
          <w:rFonts w:ascii="Calibri" w:cs="Calibri" w:eastAsia="Calibri" w:hAnsi="Calibri"/>
          <w:sz w:val="22"/>
          <w:szCs w:val="22"/>
        </w:rPr>
        <w:t xml:space="preserve"/>
      </w:r>
    </w:p>
    <w:p>
      <w:pPr>
        <w:spacing w:after="80" w:before="80"/>
      </w:pPr>
      <w:r>
        <w:rPr>
          <w:rFonts w:ascii="Calibri" w:cs="Calibri" w:eastAsia="Calibri" w:hAnsi="Calibri"/>
          <w:sz w:val="22"/>
          <w:szCs w:val="22"/>
        </w:rPr>
        <w:t xml:space="preserve">Pursuant to the County's instruction in Addendum #2 ("PLEASE ACKNOWLEDGE RECEIPT OF THIS ADDENDUM ON THE RFP RESPONSE PAGE"), the undersigned Prime Contractor formally acknowledges receipt of:</w:t>
      </w:r>
    </w:p>
    <w:p>
      <w:r>
        <w:rPr>
          <w:rFonts w:ascii="Calibri" w:cs="Calibri" w:eastAsia="Calibri" w:hAnsi="Calibri"/>
          <w:sz w:val="22"/>
          <w:szCs w:val="22"/>
        </w:rPr>
        <w:t xml:space="preserve"/>
      </w:r>
    </w:p>
    <w:p>
      <w:pPr>
        <w:pStyle w:val="ListParagraph"/>
        <w:numPr>
          <w:ilvl w:val="0"/>
          <w:numId w:val="1"/>
        </w:numPr>
        <w:spacing w:after="60" w:before="60"/>
      </w:pPr>
      <w:r>
        <w:rPr>
          <w:rFonts w:ascii="Calibri" w:cs="Calibri" w:eastAsia="Calibri" w:hAnsi="Calibri"/>
          <w:b/>
          <w:bCs/>
          <w:sz w:val="22"/>
          <w:szCs w:val="22"/>
        </w:rPr>
        <w:t xml:space="preserve">Addendum #1</w:t>
      </w:r>
      <w:r>
        <w:rPr>
          <w:rFonts w:ascii="Calibri" w:cs="Calibri" w:eastAsia="Calibri" w:hAnsi="Calibri"/>
          <w:sz w:val="22"/>
          <w:szCs w:val="22"/>
        </w:rPr>
        <w:t xml:space="preserve"> to RFP #26-0028 — received and incorporated into this response</w:t>
      </w:r>
    </w:p>
    <w:p>
      <w:pPr>
        <w:pStyle w:val="ListParagraph"/>
        <w:numPr>
          <w:ilvl w:val="0"/>
          <w:numId w:val="1"/>
        </w:numPr>
        <w:spacing w:after="60" w:before="60"/>
      </w:pPr>
      <w:r>
        <w:rPr>
          <w:rFonts w:ascii="Calibri" w:cs="Calibri" w:eastAsia="Calibri" w:hAnsi="Calibri"/>
          <w:b/>
          <w:bCs/>
          <w:sz w:val="22"/>
          <w:szCs w:val="22"/>
        </w:rPr>
        <w:t xml:space="preserve">Addendum #2</w:t>
      </w:r>
      <w:r>
        <w:rPr>
          <w:rFonts w:ascii="Calibri" w:cs="Calibri" w:eastAsia="Calibri" w:hAnsi="Calibri"/>
          <w:sz w:val="22"/>
          <w:szCs w:val="22"/>
        </w:rPr>
        <w:t xml:space="preserve"> to RFP #26-0028, issued May 22, 2026 by Tammy Culley, Purchasing Agent — received and incorporated into this response</w:t>
      </w:r>
    </w:p>
    <w:p>
      <w:r>
        <w:rPr>
          <w:rFonts w:ascii="Calibri" w:cs="Calibri" w:eastAsia="Calibri" w:hAnsi="Calibri"/>
          <w:sz w:val="22"/>
          <w:szCs w:val="22"/>
        </w:rPr>
        <w:t xml:space="preserve"/>
      </w:r>
    </w:p>
    <w:p>
      <w:pPr>
        <w:spacing w:after="80" w:before="80"/>
      </w:pPr>
      <w:r>
        <w:rPr>
          <w:rFonts w:ascii="Calibri" w:cs="Calibri" w:eastAsia="Calibri" w:hAnsi="Calibri"/>
          <w:sz w:val="22"/>
          <w:szCs w:val="22"/>
        </w:rPr>
        <w:t xml:space="preserve">\_\_\_\_\_\_\_\_\_\_\_\_\_\_\_\_\_\_\_\_\_\_\_\_\_\_\_\_\_\_\_\_</w:t>
      </w:r>
    </w:p>
    <w:p>
      <w:r>
        <w:rPr>
          <w:rFonts w:ascii="Calibri" w:cs="Calibri" w:eastAsia="Calibri" w:hAnsi="Calibri"/>
          <w:sz w:val="22"/>
          <w:szCs w:val="22"/>
        </w:rPr>
        <w:t xml:space="preserve"/>
      </w:r>
    </w:p>
    <w:p>
      <w:pPr>
        <w:spacing w:after="80" w:before="80"/>
      </w:pPr>
      <w:r>
        <w:rPr>
          <w:rFonts w:ascii="Calibri" w:cs="Calibri" w:eastAsia="Calibri" w:hAnsi="Calibri"/>
          <w:b/>
          <w:bCs/>
          <w:sz w:val="22"/>
          <w:szCs w:val="22"/>
        </w:rPr>
        <w:t xml:space="preserve">Eric Hargrave, CEO</w:t>
      </w:r>
    </w:p>
    <w:p>
      <w:pPr>
        <w:spacing w:after="80" w:before="80"/>
      </w:pPr>
      <w:r>
        <w:rPr>
          <w:rFonts w:ascii="Calibri" w:cs="Calibri" w:eastAsia="Calibri" w:hAnsi="Calibri"/>
          <w:sz w:val="22"/>
          <w:szCs w:val="22"/>
        </w:rPr>
        <w:t xml:space="preserve">Hargrave Innovative Solutions (Prime Contractor)</w:t>
      </w:r>
    </w:p>
    <w:p>
      <w:r>
        <w:rPr>
          <w:rFonts w:ascii="Calibri" w:cs="Calibri" w:eastAsia="Calibri" w:hAnsi="Calibri"/>
          <w:sz w:val="22"/>
          <w:szCs w:val="22"/>
        </w:rPr>
        <w:t xml:space="preserve"/>
      </w:r>
    </w:p>
    <w:p>
      <w:pPr>
        <w:spacing w:after="80" w:before="80"/>
      </w:pPr>
      <w:r>
        <w:rPr>
          <w:rFonts w:ascii="Calibri" w:cs="Calibri" w:eastAsia="Calibri" w:hAnsi="Calibri"/>
          <w:sz w:val="22"/>
          <w:szCs w:val="22"/>
        </w:rPr>
        <w:t xml:space="preserve">Date: \_\_\_\_\_\_\_\_\_\_\_\_\_\_\_\_</w:t>
      </w:r>
    </w:p>
    <w:p>
      <w:r>
        <w:rPr>
          <w:rFonts w:ascii="Calibri" w:cs="Calibri" w:eastAsia="Calibri" w:hAnsi="Calibri"/>
          <w:sz w:val="22"/>
          <w:szCs w:val="22"/>
        </w:rPr>
        <w:t xml:space="preserve"/>
      </w:r>
    </w:p>
    <w:p>
      <w:pPr>
        <w:spacing w:after="160" w:before="320"/>
      </w:pPr>
      <w:r>
        <w:rPr>
          <w:rFonts w:ascii="Calibri" w:cs="Calibri" w:eastAsia="Calibri" w:hAnsi="Calibri"/>
          <w:b/>
          <w:bCs/>
          <w:color w:val="0F4C81"/>
          <w:sz w:val="28"/>
          <w:szCs w:val="28"/>
        </w:rPr>
        <w:t xml:space="preserve">Appendix D — Authorized Representative</w:t>
      </w:r>
    </w:p>
    <w:p>
      <w:r>
        <w:rPr>
          <w:rFonts w:ascii="Calibri" w:cs="Calibri" w:eastAsia="Calibri" w:hAnsi="Calibri"/>
          <w:sz w:val="22"/>
          <w:szCs w:val="22"/>
        </w:rPr>
        <w:t xml:space="preserve"/>
      </w:r>
    </w:p>
    <w:p>
      <w:pPr>
        <w:spacing w:after="80" w:before="80"/>
      </w:pPr>
      <w:r>
        <w:rPr>
          <w:rFonts w:ascii="Calibri" w:cs="Calibri" w:eastAsia="Calibri" w:hAnsi="Calibri"/>
          <w:sz w:val="22"/>
          <w:szCs w:val="22"/>
        </w:rPr>
        <w:t xml:space="preserve">The authorized representative for all matters relating to this proposal and any awarded contract is:</w:t>
      </w:r>
    </w:p>
    <w:p>
      <w:r>
        <w:rPr>
          <w:rFonts w:ascii="Calibri" w:cs="Calibri" w:eastAsia="Calibri" w:hAnsi="Calibri"/>
          <w:sz w:val="22"/>
          <w:szCs w:val="22"/>
        </w:rPr>
        <w:t xml:space="preserve"/>
      </w:r>
    </w:p>
    <w:p>
      <w:pPr>
        <w:spacing w:after="80" w:before="80"/>
      </w:pPr>
      <w:r>
        <w:rPr>
          <w:rFonts w:ascii="Calibri" w:cs="Calibri" w:eastAsia="Calibri" w:hAnsi="Calibri"/>
          <w:b/>
          <w:bCs/>
          <w:sz w:val="22"/>
          <w:szCs w:val="22"/>
        </w:rPr>
        <w:t xml:space="preserve">Eric Hargrave, CEO</w:t>
      </w:r>
    </w:p>
    <w:p>
      <w:pPr>
        <w:spacing w:after="80" w:before="80"/>
      </w:pPr>
      <w:r>
        <w:rPr>
          <w:rFonts w:ascii="Calibri" w:cs="Calibri" w:eastAsia="Calibri" w:hAnsi="Calibri"/>
          <w:sz w:val="22"/>
          <w:szCs w:val="22"/>
        </w:rPr>
        <w:t xml:space="preserve">Hargrave Innovative Solutions</w:t>
      </w:r>
    </w:p>
    <w:p>
      <w:pPr>
        <w:spacing w:after="80" w:before="80"/>
      </w:pPr>
      <w:r>
        <w:rPr>
          <w:rFonts w:ascii="Calibri" w:cs="Calibri" w:eastAsia="Calibri" w:hAnsi="Calibri"/>
          <w:sz w:val="22"/>
          <w:szCs w:val="22"/>
        </w:rPr>
        <w:t xml:space="preserve">ericd@hisolution.org</w:t>
      </w:r>
    </w:p>
    <w:p>
      <w:pPr>
        <w:spacing w:after="80" w:before="80"/>
      </w:pPr>
      <w:r>
        <w:rPr>
          <w:rFonts w:ascii="Calibri" w:cs="Calibri" w:eastAsia="Calibri" w:hAnsi="Calibri"/>
          <w:sz w:val="22"/>
          <w:szCs w:val="22"/>
        </w:rPr>
        <w:t xml:space="preserve">601-238-4186</w:t>
      </w:r>
    </w:p>
    <w:p>
      <w:r>
        <w:rPr>
          <w:rFonts w:ascii="Calibri" w:cs="Calibri" w:eastAsia="Calibri" w:hAnsi="Calibri"/>
          <w:sz w:val="22"/>
          <w:szCs w:val="22"/>
        </w:rPr>
        <w:t xml:space="preserve"/>
      </w:r>
    </w:p>
    <w:p>
      <w:pPr>
        <w:spacing w:after="80" w:before="80"/>
      </w:pPr>
      <w:r>
        <w:rPr>
          <w:rFonts w:ascii="Calibri" w:cs="Calibri" w:eastAsia="Calibri" w:hAnsi="Calibri"/>
          <w:sz w:val="22"/>
          <w:szCs w:val="22"/>
        </w:rPr>
        <w:t xml:space="preserve">All proposal questions, clarifications, contract negotiations, and post-award communications will be directed through this representative.</w:t>
      </w:r>
    </w:p>
    <w:p>
      <w:r>
        <w:rPr>
          <w:rFonts w:ascii="Calibri" w:cs="Calibri" w:eastAsia="Calibri" w:hAnsi="Calibri"/>
          <w:sz w:val="22"/>
          <w:szCs w:val="22"/>
        </w:rPr>
        <w:t xml:space="preserve"/>
      </w:r>
    </w:p>
    <w:p>
      <w:pPr>
        <w:pBdr>
          <w:bottom w:val="single" w:color="888888" w:sz="6" w:space="1"/>
        </w:pBdr>
        <w:spacing w:after="120" w:before="120"/>
      </w:pPr>
    </w:p>
    <w:p>
      <w:r>
        <w:rPr>
          <w:rFonts w:ascii="Calibri" w:cs="Calibri" w:eastAsia="Calibri" w:hAnsi="Calibri"/>
          <w:sz w:val="22"/>
          <w:szCs w:val="22"/>
        </w:rPr>
        <w:t xml:space="preserve"/>
      </w:r>
    </w:p>
    <w:p>
      <w:pPr>
        <w:spacing w:after="80" w:before="80"/>
      </w:pPr>
      <w:r>
        <w:rPr>
          <w:rFonts w:ascii="Calibri" w:cs="Calibri" w:eastAsia="Calibri" w:hAnsi="Calibri"/>
          <w:b/>
          <w:bCs/>
          <w:sz w:val="22"/>
          <w:szCs w:val="22"/>
        </w:rPr>
        <w:t xml:space="preserve">End of Proposal</w:t>
      </w:r>
    </w:p>
    <w:p>
      <w:r>
        <w:rPr>
          <w:rFonts w:ascii="Calibri" w:cs="Calibri" w:eastAsia="Calibri" w:hAnsi="Calibri"/>
          <w:sz w:val="22"/>
          <w:szCs w:val="22"/>
        </w:rPr>
        <w:t xml:space="preserve"/>
      </w:r>
    </w:p>
    <w:p>
      <w:pPr>
        <w:spacing w:after="80" w:before="80"/>
      </w:pPr>
      <w:r>
        <w:rPr>
          <w:rFonts w:ascii="Calibri" w:cs="Calibri" w:eastAsia="Calibri" w:hAnsi="Calibri"/>
          <w:sz w:val="22"/>
          <w:szCs w:val="22"/>
        </w:rPr>
        <w:t xml:space="preserve">Vitality Weight Management Program · Response to Sedgwick County RFP #26-0028</w:t>
      </w:r>
    </w:p>
    <w:p>
      <w:pPr>
        <w:spacing w:after="80" w:before="80"/>
      </w:pPr>
      <w:r>
        <w:rPr>
          <w:rFonts w:ascii="Calibri" w:cs="Calibri" w:eastAsia="Calibri" w:hAnsi="Calibri"/>
          <w:sz w:val="22"/>
          <w:szCs w:val="22"/>
        </w:rPr>
        <w:t xml:space="preserve">Submitted by Hargrave Innovative Solutions (Prime Contractor)</w:t>
      </w:r>
    </w:p>
    <w:p>
      <w:pPr>
        <w:spacing w:after="80" w:before="80"/>
      </w:pPr>
      <w:r>
        <w:rPr>
          <w:rFonts w:ascii="Calibri" w:cs="Calibri" w:eastAsia="Calibri" w:hAnsi="Calibri"/>
          <w:sz w:val="22"/>
          <w:szCs w:val="22"/>
        </w:rPr>
        <w:t xml:space="preserve">In partnership with Love Clinic MedSpa · Vanntastic Solutions · The COLLABORATIVE Advocate Foundation</w:t>
      </w:r>
    </w:p>
    <w:p>
      <w:pPr>
        <w:spacing w:after="80" w:before="80"/>
      </w:pPr>
      <w:r>
        <w:rPr>
          <w:rFonts w:ascii="Calibri" w:cs="Calibri" w:eastAsia="Calibri" w:hAnsi="Calibri"/>
          <w:sz w:val="22"/>
          <w:szCs w:val="22"/>
        </w:rPr>
        <w:t xml:space="preserve">June 2, 2026</w:t>
      </w:r>
    </w:p>
    <w:p>
      <w:r>
        <w:rPr>
          <w:rFonts w:ascii="Calibri" w:cs="Calibri" w:eastAsia="Calibri" w:hAnsi="Calibri"/>
          <w:sz w:val="22"/>
          <w:szCs w:val="22"/>
        </w:rPr>
        <w:t xml:space="preserve"/>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Vitality Weight Management Program — RFP #26-0028 Proposal</dc:title>
  <dc:creator>Hargrave Innovative Solutions</dc:creator>
  <dc:description>Vitality Weight Management Program — RFP #26-0028 Proposal</dc:description>
  <cp:lastModifiedBy>Un-named</cp:lastModifiedBy>
  <cp:revision>1</cp:revision>
  <dcterms:created xsi:type="dcterms:W3CDTF">2026-05-23T18:16:57.226Z</dcterms:created>
  <dcterms:modified xsi:type="dcterms:W3CDTF">2026-05-23T18:16:57.226Z</dcterms:modified>
</cp:coreProperties>
</file>

<file path=docProps/custom.xml><?xml version="1.0" encoding="utf-8"?>
<Properties xmlns="http://schemas.openxmlformats.org/officeDocument/2006/custom-properties" xmlns:vt="http://schemas.openxmlformats.org/officeDocument/2006/docPropsVTypes"/>
</file>