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TCAF Benefits Enrollment Collaborative</w:t>
      </w:r>
    </w:p>
    <w:p>
      <w:pPr>
        <w:spacing w:after="360"/>
        <w:jc w:val="center"/>
      </w:pPr>
      <w:r>
        <w:rPr>
          <w:i/>
          <w:iCs/>
          <w:sz w:val="24"/>
          <w:szCs w:val="24"/>
        </w:rPr>
        <w:t xml:space="preserve">Evidence-Grounded, Community-Driven</w:t>
      </w:r>
    </w:p>
    <w:p>
      <w:pPr>
        <w:spacing w:after="200" w:line="320"/>
        <w:jc w:val="left"/>
      </w:pPr>
      <w:r>
        <w:rPr>
          <w:b/>
          <w:bCs/>
          <w:sz w:val="22"/>
          <w:szCs w:val="22"/>
        </w:rPr>
        <w:t xml:space="preserve">Request Title:</w:t>
      </w:r>
      <w:r>
        <w:rPr>
          <w:sz w:val="22"/>
          <w:szCs w:val="22"/>
        </w:rPr>
        <w:t xml:space="preserve"> TCAF Benefits Enrollment Collaborative: Evidence-Grounded, Community-Driven</w:t>
      </w:r>
    </w:p>
    <w:p>
      <w:pPr>
        <w:spacing w:after="200" w:line="320"/>
        <w:jc w:val="left"/>
      </w:pPr>
      <w:r>
        <w:rPr>
          <w:b/>
          <w:bCs/>
          <w:sz w:val="22"/>
          <w:szCs w:val="22"/>
        </w:rPr>
        <w:t xml:space="preserve">Geographic Impact:</w:t>
      </w:r>
      <w:r>
        <w:rPr>
          <w:sz w:val="22"/>
          <w:szCs w:val="22"/>
        </w:rPr>
        <w:t xml:space="preserve"> Regional (all 5 counties)</w:t>
      </w:r>
    </w:p>
    <w:p>
      <w:pPr>
        <w:spacing w:after="200" w:line="320"/>
        <w:jc w:val="left"/>
      </w:pPr>
      <w:r>
        <w:rPr>
          <w:b/>
          <w:bCs/>
          <w:sz w:val="22"/>
          <w:szCs w:val="22"/>
        </w:rPr>
        <w:t xml:space="preserve">Primary County:</w:t>
      </w:r>
      <w:r>
        <w:rPr>
          <w:sz w:val="22"/>
          <w:szCs w:val="22"/>
        </w:rPr>
        <w:t xml:space="preserve"> Travis</w:t>
      </w:r>
    </w:p>
    <w:p>
      <w:pPr>
        <w:spacing w:after="200" w:line="320"/>
        <w:jc w:val="left"/>
      </w:pPr>
      <w:r>
        <w:rPr>
          <w:b/>
          <w:bCs/>
          <w:sz w:val="22"/>
          <w:szCs w:val="22"/>
        </w:rPr>
        <w:t xml:space="preserve">Status:</w:t>
      </w:r>
      <w:r>
        <w:rPr>
          <w:sz w:val="22"/>
          <w:szCs w:val="22"/>
        </w:rPr>
        <w:t xml:space="preserve"> FINAL for GivingData submission (April 27, 2026 @ 5:00 PM CT)</w:t>
      </w:r>
    </w:p>
    <w:p>
      <w:r>
        <w:rPr>
          <w:sz w:val="22"/>
          <w:szCs w:val="22"/>
        </w:rPr>
        <w:t xml:space="preserve"/>
      </w:r>
    </w:p>
    <w:p>
      <w:r>
        <w:rPr>
          <w:sz w:val="22"/>
          <w:szCs w:val="22"/>
        </w:rPr>
        <w:t xml:space="preserve"/>
      </w:r>
    </w:p>
    <w:p>
      <w:r>
        <w:rPr>
          <w:sz w:val="22"/>
          <w:szCs w:val="22"/>
        </w:rPr>
        <w:t xml:space="preserve"/>
      </w:r>
    </w:p>
    <w:p>
      <w:pPr>
        <w:spacing w:after="200" w:line="320"/>
        <w:jc w:val="both"/>
      </w:pPr>
      <w:r>
        <w:rPr>
          <w:sz w:val="22"/>
          <w:szCs w:val="22"/>
        </w:rPr>
        <w:t xml:space="preserve">Today, tens of thousands of residents across the five-county region — Travis, Williamson, Hays, Bastrop, Caldwell — are eligible for SNAP, WIC, Medicaid, CHIP, ACA Marketplace subsidies, EITC, Child Tax Credit, SSI, and SSDI but do not receive them. Regionally, SNAP and Medicaid take-up trail eligibility by double digits, and many EITC-eligible filers never claim. Uninsured residents often qualify for Medicaid, CHIP, or ACA subsidies but remain without coverage. Applications are long, scattered across agencies, and often only in English. People lose documents, miss deadlines, or give up after being turned away at the wrong office. Food pantries, clinics, and schools see this daily but lack infrastructure to enroll clients across programs at once. One-at-a-time navigation cannot close a gap this large.</w:t>
      </w:r>
    </w:p>
    <w:p>
      <w:r>
        <w:rPr>
          <w:sz w:val="22"/>
          <w:szCs w:val="22"/>
        </w:rPr>
        <w:t xml:space="preserve"/>
      </w:r>
    </w:p>
    <w:p>
      <w:pPr>
        <w:spacing w:after="200" w:line="320"/>
        <w:jc w:val="both"/>
      </w:pPr>
      <w:r>
        <w:rPr>
          <w:sz w:val="22"/>
          <w:szCs w:val="22"/>
        </w:rPr>
        <w:t xml:space="preserve">The Collaborative Advocate Foundation (TCAF) closes it by building shared infrastructure. Our analysis platform draws on 955 live federal data connections across 67+ agencies, rendered as plain-English profiles down to the ZIP and Census-tract level for all five counties. County profiles differ — rural Bastrop and Caldwell show transportation and broadband gaps; Hays and Williamson mix fast-growing suburbs with deep-need pockets; Travis holds the largest unenrolled count. Partners see where eligibility gaps are widest, which tracts face the highest social vulnerability (ATSDR SVI), where households are cost-burdened (HUD CHAS), and how these factors intersect with health outcomes (CDC PLACES) — so the right tool reaches the right community at the right time.</w:t>
      </w:r>
    </w:p>
    <w:p>
      <w:r>
        <w:rPr>
          <w:sz w:val="22"/>
          <w:szCs w:val="22"/>
        </w:rPr>
        <w:t xml:space="preserve"/>
      </w:r>
    </w:p>
    <w:p>
      <w:pPr>
        <w:spacing w:after="200" w:line="320"/>
        <w:jc w:val="both"/>
      </w:pPr>
      <w:r>
        <w:rPr>
          <w:sz w:val="22"/>
          <w:szCs w:val="22"/>
        </w:rPr>
        <w:t xml:space="preserve">The resident-facing front door is </w:t>
      </w:r>
      <w:r>
        <w:rPr>
          <w:b/>
          <w:bCs/>
          <w:sz w:val="22"/>
          <w:szCs w:val="22"/>
        </w:rPr>
        <w:t xml:space="preserve">Life Transitions</w:t>
      </w:r>
      <w:r>
        <w:rPr>
          <w:sz w:val="22"/>
          <w:szCs w:val="22"/>
        </w:rPr>
        <w:t xml:space="preserve"> (lifetransitionsaid.org), in the TCAF ecosystem. ThriveUp and partner sites embed the same intake and dashboard; every entry point draws from the same intelligence and feeds the same measurement layer. Community champions embedded in each county guide outreach. Any CHW, navigator, promotora, school liaison, pastor, or resident on a personal phone does the same work. A single 15-minute intake — in English, Spanish, Vietnamese, or Speech Bridge audio for low-literacy and vision-impaired users — screens eligibility across all nine programs at once and produces ready-to-file applications. No app download. No separate account. Medicaid and SNAP filings include an HHSC warm-handoff. Automated reminders by text or voice prevent missed recertification deadlines.</w:t>
      </w:r>
    </w:p>
    <w:p>
      <w:r>
        <w:rPr>
          <w:sz w:val="22"/>
          <w:szCs w:val="22"/>
        </w:rPr>
        <w:t xml:space="preserve"/>
      </w:r>
    </w:p>
    <w:p>
      <w:pPr>
        <w:spacing w:after="200" w:line="320"/>
        <w:jc w:val="both"/>
      </w:pPr>
      <w:r>
        <w:rPr>
          <w:sz w:val="22"/>
          <w:szCs w:val="22"/>
        </w:rPr>
        <w:t xml:space="preserve">Scale comes from shared infrastructure, not heroics.</w:t>
      </w:r>
    </w:p>
    <w:p>
      <w:r>
        <w:rPr>
          <w:sz w:val="22"/>
          <w:szCs w:val="22"/>
        </w:rPr>
        <w:t xml:space="preserve"/>
      </w:r>
    </w:p>
    <w:p>
      <w:pPr>
        <w:spacing w:after="200" w:line="320"/>
        <w:jc w:val="both"/>
      </w:pPr>
      <w:r>
        <w:rPr>
          <w:sz w:val="22"/>
          <w:szCs w:val="22"/>
        </w:rPr>
        <w:t xml:space="preserve">TCAF monitors fidelity with a 30-day MAP-GAP cycle — measure, analyze, plan, govern, adjust, publish. Each month we review yield by tract, time-to-approval, denial reasons, retention, and navigator caseload. If yield drops in a tract, outreach shifts. If denials spike on one program, training is retooled. Implementation-science fidelity checks from CFIR and RE-AIM are built in.</w:t>
      </w:r>
    </w:p>
    <w:p>
      <w:r>
        <w:rPr>
          <w:sz w:val="22"/>
          <w:szCs w:val="22"/>
        </w:rPr>
        <w:t xml:space="preserve"/>
      </w:r>
    </w:p>
    <w:p>
      <w:pPr>
        <w:spacing w:after="200" w:line="320"/>
        <w:jc w:val="both"/>
      </w:pPr>
      <w:r>
        <w:rPr>
          <w:sz w:val="22"/>
          <w:szCs w:val="22"/>
        </w:rPr>
        <w:t xml:space="preserve">Navigators are trained in two hours. The client flow runs on any smartphone, multilingual and low-literacy by default. Partners pay nothing under this grant.</w:t>
      </w:r>
    </w:p>
    <w:p>
      <w:r>
        <w:rPr>
          <w:sz w:val="22"/>
          <w:szCs w:val="22"/>
        </w:rPr>
        <w:t xml:space="preserve"/>
      </w:r>
    </w:p>
    <w:p>
      <w:pPr>
        <w:spacing w:after="200" w:line="320"/>
        <w:jc w:val="both"/>
      </w:pPr>
      <w:r>
        <w:rPr>
          <w:sz w:val="22"/>
          <w:szCs w:val="22"/>
        </w:rPr>
        <w:t xml:space="preserve">TCAF is an active HHSC Community Partner Program Level 1 organization partnering with safety-net providers across the five counties. Past-year enrollment counts, trained-staff counts, and collaborative outcomes will be submitted on behalf of the full partner roster at the full-application stage. The result is a clear path from eligibility to enrollment to retention — at a scale that actually matches the gap.</w:t>
      </w:r>
    </w:p>
    <w:p>
      <w:r>
        <w:rPr>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TCAF Benefits Enrollment Collaborative — LOI v4 FINAL</dc:title>
  <dc:creator>TCAF</dc:creator>
  <cp:lastModifiedBy>Un-named</cp:lastModifiedBy>
  <cp:revision>1</cp:revision>
  <dcterms:created xsi:type="dcterms:W3CDTF">2026-04-17T01:49:02.218Z</dcterms:created>
  <dcterms:modified xsi:type="dcterms:W3CDTF">2026-04-17T01:49:02.219Z</dcterms:modified>
</cp:coreProperties>
</file>

<file path=docProps/custom.xml><?xml version="1.0" encoding="utf-8"?>
<Properties xmlns="http://schemas.openxmlformats.org/officeDocument/2006/custom-properties" xmlns:vt="http://schemas.openxmlformats.org/officeDocument/2006/docPropsVTypes"/>
</file>