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52"/>
          <w:szCs w:val="52"/>
        </w:rPr>
        <w:t xml:space="preserve">TERRY D. FLOOD, DHA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Community Platform Builder  •  Implementation Scientist  •  Data Storyteller  •  TCAF President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Pflugerville, TX  •  254-319-8460  •  terryflood@thrivingcommunitiesforall.com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D9488"/>
          <w:sz w:val="20"/>
          <w:szCs w:val="20"/>
        </w:rPr>
        <w:t xml:space="preserve">thrivingcommunitiesforall.com  •  lifetransitionsaid.org</w:t>
      </w:r>
    </w:p>
    <w:p>
      <w:pPr>
        <w:pBdr>
          <w:bottom w:val="single" w:color="E2E8F0" w:sz="4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bottom w:val="single" w:color="0D9488" w:sz="6"/>
        </w:pBdr>
        <w:spacing w:after="60" w:before="28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PARTNERSHIP PROFILE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Community health innovator, implementation scientist, and nonprofit founder building technology-enabled infrastructure that expands access to social services, workforce opportunity, and health equity for underserved populations across Texas and the nation. Founder of The Collaborative Advocate Foundation (TCAF), EIN 41-3618003 — a Texas 501(c)(3) — operating two complementary production platforms: LifeBridge (virtual 211 and CHW navigation hub at lifetransitionsaid.org) and ThriveUp Academy (AI-powered community infrastructure at thrivingcommunitiesforall.com).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ThriveUp Academy is not a concept or a roadmap — it is a live, production-grade platform: 271 database tables, 211 frontend pages, 26 interconnected ecosystem platforms, a 4-engine AI synthesis stack (Claude + GPT-4o-mini + Gemini Flash + DeepSeek R1), 88 RAG knowledge chunks grounded in TCAF's own commitments, 721+ grants tracked with AI-powered fit scoring, physics-grade trade simulation engines, 107-language navigation, and full FHIR/CDS-Hooks interoperability. Every feature described in this document is running code — not aspiration.</w:t>
      </w:r>
    </w:p>
    <w:p>
      <w:pPr>
        <w:pBdr>
          <w:bottom w:val="single" w:color="E2E8F0" w:sz="4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bottom w:val="single" w:color="0D9488" w:sz="6"/>
        </w:pBdr>
        <w:spacing w:after="60" w:before="28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COMMUNITY PLATFORMS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LifeBridge — Virtual 211 &amp; Community Navigation Hub</w:t>
      </w:r>
      <w:r>
        <w:rPr>
          <w:rFonts w:ascii="Calibri" w:cs="Calibri" w:eastAsia="Calibri" w:hAnsi="Calibri"/>
          <w:b w:val="false"/>
          <w:bCs w:val="false"/>
          <w:color w:val="94A3B8"/>
          <w:sz w:val="20"/>
          <w:szCs w:val="20"/>
        </w:rPr>
        <w:t xml:space="preserve">     2026–Present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lifetransitionsaid.org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|  The Collaborative Advocate Foundation (TCAF)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What it does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Free, 24/7 virtual social services navigation platform functioning as a digital community health worker — providing the same intake, triage, and referral functions that in-person CHW navigators deliver, extended to families who cannot access brick-and-mortar services during business hours: working parents, shift workers, rural-adjacent residents, newly released individuals, and immigrants navigating unfamiliar systems.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Coverage — all five SDOH domains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Economic stability: employment, benefits screening (SNAP/TANF/WIC/LIHEAP/Medicaid/CCS), financial assistance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Education &amp; training: GED/HiSET, adult basic education, ESL, workforce programs, Trade Sims pathway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Health &amp; healthcare: primary care FQHCs, mental health, substance use, maternal health, dental, vision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Neighborhood &amp; environment: emergency housing, utility assistance, domestic violence shelters, food pantries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Social &amp; community context: legal aid, immigration services, reentry support, veteran navigation, disability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AI navigation layer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107 languages (89 spoken + 18 signed) with dialect preservation — AAVE, Spanglish, regional dialects honored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Crisis signal detection: auto-routes to 988, National DV Hotline, SAMHSA, Childhelp — no cold handoff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GIS-aware referrals: ZIP-matched community resources via findhelp.org, 211, and TCAF's curated partner network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Anonymous use by default — no account, no judgment, no prerequisites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Data storytelling capability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LifeBridge captures anonymized usage data by need category, ZIP code, and referral pathway — enabling community needs mapping, gap analysis, and data-informed advocacy to funders, city councils, county health departments, and federal agencies. Usage trends feed directly into TCAF's grant development strategy.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Partnership opportunity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LifeBridge can serve as a digital front door, after-hours extension, and co-branded resource hub for partner organizations. The platform can be populated with partner-specific resources, embedded in partner digital properties, and configured to capture partner-relevant intake data for shared reporting.</w:t>
      </w:r>
    </w:p>
    <w:p>
      <w:pPr>
        <w:spacing w:after="0" w:before="60"/>
      </w:pPr>
      <w:r>
        <w:rPr>
          <w:sz w:val="4"/>
          <w:szCs w:val="4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ThriveUp Academy — National Community Infrastructure Platform</w:t>
      </w:r>
      <w:r>
        <w:rPr>
          <w:rFonts w:ascii="Calibri" w:cs="Calibri" w:eastAsia="Calibri" w:hAnsi="Calibri"/>
          <w:b w:val="false"/>
          <w:bCs w:val="false"/>
          <w:color w:val="94A3B8"/>
          <w:sz w:val="20"/>
          <w:szCs w:val="20"/>
        </w:rPr>
        <w:t xml:space="preserve">     2026–Present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thrivingcommunitiesforall.com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|  The Collaborative Advocate Foundation (TCAF)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Platform scale (production — not a prototype)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271 database tables  |  211 frontend pages  |  26 connected ecosystem platforms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4-engine AI synthesis: Claude 3.5 Haiku + GPT-4o-mini + Gemini Flash + DeepSeek R1 with automatic failover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88 RAG knowledge chunks grounded in TCAF's own commitments — not generic LLM output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FHIR R4 / CDS-Hooks interoperable — clinical data exchange ready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Two-entity strategy: TCAF 501(c)(3) for community programs + ISS LLC for-profit for earned revenue / government contracting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AI Navigator — the platform's front door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Multilingual community navigation: 107 languages (89 spoken + 18 signed), dialect-preserving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4-engine collaborative synthesis — engines debate, synthesize, and cite sources before responding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Detects housing, food, mental health, reentry, immigration, DV, and childcare crises; provides immediate warm referrals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GIS-powered: pulls CDC SVI, Census ACS, SAMHSA NSDUH, FBI UCR, and USDA data layers by ZIP code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Anti-fabrication architecture: zero hallucinated resources — every referral is a verified primary source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Trade Simulation Engines — physics-grade workforce training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Five industry-standard trades with real simulation engines — not videos or slideshows. 5 trades × 15 lessons = 75 lessons. Credential routing at 80% completion connects participants to apprenticeships, licensure boards, and area technical college programs.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Welding: AWS D1.1 structural steel heat-input evaluator — calculates preheat, interpass temp, heat input per code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Plumbing: Hardy-Cross Newton-Raphson hydraulic simulation — models pipe networks, pressure, flow rates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Electrical / Automotive: Mesh-Node Analysis (MNA) — simulates circuits, calculates voltage/current/resistance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HVAC: Thermal-airflow simulation — models heat load, duct sizing, CFM calculations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Automotive (advanced): ECM/OBD diagnostics simulation with fault code interpretation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10-language AI tutor: English, Spanish, Vietnamese, Chinese, Arabic, Korean, French, Tagalog, Hindi, Burmese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Grant Discovery &amp; Compliance Engine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721+ active grants tracked across federal, state, foundation, and corporate sources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AI-powered SAM.gov scanning with real-time fit scoring against TCAF's program inventory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RFP Fidelity Engine: compliance matrix builder that mirrors RFP rubric language and scoring weights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Proposal pipeline with 29 active opportunities managed through a Kanban lifecycle (LOI → Draft → Review → Submitted)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BidNet Direct integration for local government opportunities; RFPMART for state procurement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Community Health Worker (CHW) Dashboard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Caseload management with home visit logging, screening, and referral tracking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10 CHW training modules aligned to Texas DSHS CHW standards (168-hour curriculum pathway)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CHW certification pathway: credit tracking, supervisor attestation, DSHS renewal management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Community resource connector with real-time availability and warm handoff documentation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Implementation Science Research Hub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CFIR 2.0 fully instantiated in code — not cited as a framework, but operationalized as 39 live constructs across 5 domains (Innovation, Outer Setting, Inner Setting, Individuals, Implementation Process). Paired with MAP-GAP continuous quality improvement cycle and RE-AIM evaluation.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39 CFIR 2.0 constructs: barrier/facilitator scoring, implementation driver mapping, fidelity ratings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MAP-GAP QI cycle: Measure → Analyze → Plan → Gap-identification → Action → Progress tracking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RE-AIM scorecard: Reach, Effectiveness, Adoption, Implementation, Maintenance — populated by platform data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Research library: SAMHSA SPF, NIRN, CDC, PCORI — with implementation pathway builder per evidence level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Justice &amp; Reentry Case Management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11 database tables: RNR assessments, CBI programs, recidivism baselines, reentry milestones, family visitation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Risk-Need-Responsivity (RNR) model, NRRC benchmarks, CBI fidelity scoring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Collateral consequence counseling: employment, housing, benefits, professional licensing barriers by state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Family contact log, supervised release milestone tracker, supervisor review queue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Prevention Hub &amp; Coalition Management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SAMHSA/NIDA evidence-based program registry with practice-to-research gap scoring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Risk/protective factor tracking at individual and community level using CFIR constructs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DFC Command Center: Drug-Free Communities grant management aggregating 20+ data sources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12-sector ONDCP-aligned coalition tracker (youth, parents, business, media, schools, faith, law enforcement, civic...)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Prevention logic model builder with theory-of-change documentation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Parent Education &amp; Family Strengthening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7 substance prevention modules: warning signs, talking with your child, fentanyl/vaping awareness, social media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6 family strengthening modules: communication, discipline, resilience, cultural strengths, mental health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AI-powered conversation starters — age-banded (10-14 / 15-18), culturally adapted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Family risk and protective factors assessment with personalized action plan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Community Intelligence Map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GIS-powered mapping with live CDC SVI, Census ACS, SAMHSA, FBI UCR, and USDA data layers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Corridor Chainweb: 8-node citation-chained data pipeline (Census/CDC/BJS/USDA) — every stat has a primary source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Community needs mapping by ZIP, county, and census tract — updated from live APIs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Equity overlays: Social Vulnerability Index, food desert designation, rural health shortage area, child poverty rate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Child Care &amp; Workforce Navigation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Texas Child Care Services (CCS) system navigator: TRS quality levels, subsidy eligibility, provider search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North Texas 11-county landscape: county-by-county provider count, child/slot data, TWC performance measures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Workforce-to-childcare linkage: employer-sponsored care modeling, CCS access during job search period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Pre-employment CCS policy analysis with real TWC economic data and TRS rate reform recommendations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Dual-generation strategy: workforce outcomes + child development outcomes measured together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Benefits Screener &amp; Navigator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SDOH-aware universal screening: SNAP, Medicaid, CHIP, TANF, WIC, CCS, LIHEAP, housing, Social Security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Real-time eligibility flows using federal income limits and household composition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211 integration and findhelp.org deep-linking with partner-specific resource overlays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AI Creation Studio — 10 professional tools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Resume builder, cover letter, professional bio, portfolio builder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Business plan generator, grant narrative builder, logic model builder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Presentation builder, compliance matrix generator, letter of support generator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tools use TCAF's ethical AI preamble: truth + primary sources, no PII echo, plain language</w:t>
      </w:r>
    </w:p>
    <w:p>
      <w:pPr>
        <w:pBdr>
          <w:bottom w:val="single" w:color="E2E8F0" w:sz="4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bottom w:val="single" w:color="0D9488" w:sz="6"/>
        </w:pBdr>
        <w:spacing w:after="60" w:before="28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IMPLEMENTATION SCIENCE &amp; DATA STORYTELLING CAPABILITIES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Doctoral expertise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MS, Implementation Science (Dartmouth Geisel School of Medicine, expected 2026); DHA (Virginia University of Lynchburg, 2024); developed SALP (Systemic Anchors and Leverage Points) framework for evidence-to-practice gap identification; completed Dartmouth CBHEM Phase 1 community-based veteran outreach trial; co-authored Springer Nature manuscript on evidence-to-practice parallax; submitted Debate article to Implementation Science journal.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Five-lens platform design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Every TCAF platform is designed simultaneously through five lenses: (1) Implementation science — CFIR/RE-AIM/EPIS frame, fidelity, scalability; (2) Psychology/neuroscience — trauma-informed, regulation-first, no shame architecture; (3) Data engineering — FHIR/CDS-Hooks interoperable, 0-PHI-egress, witness-logged, citation-chained; (4) Community health worker — trusted-messenger model, stipended shadow workers, peer-mentor pathways; (5) UX/user-centered design — parent, clinician, CPS worker, funder each have a coherent surface.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Mixed-methods community research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Trained in qualitative and quantitative methods: needs assessments, listening sessions, RE-AIM scorecards, CBPR, and CFIR-guided implementation evaluation. Platform's Community Voice features enable participatory evidence collection at scale — turning community listening into structured, funder-ready datasets.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Data storytelling for funders &amp; policymakers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United Way of Williamson County stakeholder presentation with $878K Year 2 funding stack; developing NSF Texas-wide AI readiness Coordination Hub LOI; ARPA-H PHO concept paper on child maltreatment prevention; Travis County Central Health RFQ. Every external-facing deliverable is evidence-anchored, rubric-mirrored, and reviewer-ready.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Grant development &amp; federal funding strategy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Active pipeline: 29 proposals in lifecycle management. NSF (TechAccess / AI Coordination Hub); ARPA-H PHO; TWC RFA-32026-00162; CDC Drug-Free Communities; Substance Abuse Prevention; USDA NIFA Open Data Framework. Two-entity strategy (TCAF 501c3 + ISS LLC) enables both federal grant-eligible and earned-revenue contracting tracks.</w:t>
      </w:r>
    </w:p>
    <w:p>
      <w:pPr>
        <w:pBdr>
          <w:bottom w:val="single" w:color="E2E8F0" w:sz="4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bottom w:val="single" w:color="0D9488" w:sz="6"/>
        </w:pBdr>
        <w:spacing w:after="60" w:before="28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COMMUNITY ENGAGEMENT &amp; COLLABORATIVE LEADERSHIP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President &amp; Founder</w:t>
      </w:r>
      <w:r>
        <w:rPr>
          <w:rFonts w:ascii="Calibri" w:cs="Calibri" w:eastAsia="Calibri" w:hAnsi="Calibri"/>
          <w:b w:val="false"/>
          <w:bCs w:val="false"/>
          <w:color w:val="94A3B8"/>
          <w:sz w:val="20"/>
          <w:szCs w:val="20"/>
        </w:rPr>
        <w:t xml:space="preserve">     2026–Present</w:t>
      </w:r>
    </w:p>
    <w:p>
      <w:pPr>
        <w:spacing w:after="80" w:before="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The Collaborative Advocate Foundation (TCAF)  —  Texas 501(c)(3) | EIN 41-3618003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Parenting workshops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Monthly trauma-informed parenting workshops at Northwest Elementary School (Pflugerville ISD); curriculum integrates ACEs science, resilience-building, and family systems frameworks.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Dads Care 2 initiative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Central Texas expansion of Dads Care 2 fatherhood engagement initiative across Williamson, McLennan, and Travis counties — addressing family stability and child welfare outcomes.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Coalition building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Austin Community Police Review Commission (CPRC); Pflugerville School Health Advisory Council (SHAC); cross-sector bridge between community health, public safety, education, and government.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D9488"/>
          <w:sz w:val="20"/>
          <w:szCs w:val="20"/>
        </w:rPr>
        <w:t xml:space="preserve">Veterans advocacy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Veteran-centered disability navigation, behavioral health advocacy, and health system navigation for military families across Central Texas; retired Army CW2; VA 100% P&amp;T recipient.</w:t>
      </w:r>
    </w:p>
    <w:p>
      <w:pPr>
        <w:pBdr>
          <w:bottom w:val="single" w:color="E2E8F0" w:sz="4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bottom w:val="single" w:color="0D9488" w:sz="6"/>
        </w:pBdr>
        <w:spacing w:after="60" w:before="28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RELEVANT PROFESSIONAL BACKGROUND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Social Science Program Specialist (GS-0101-11)  —  VA Veterans Crisis Line</w:t>
      </w:r>
      <w:r>
        <w:rPr>
          <w:rFonts w:ascii="Calibri" w:cs="Calibri" w:eastAsia="Calibri" w:hAnsi="Calibri"/>
          <w:b w:val="false"/>
          <w:bCs w:val="false"/>
          <w:color w:val="94A3B8"/>
          <w:sz w:val="20"/>
          <w:szCs w:val="20"/>
        </w:rPr>
        <w:t xml:space="preserve">     Jan 2024–Mar 2026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and delivered training curricula and SOPs for 500+ employee behavioral health program; coordinated complex cases involving MST, TBI, and SDOH barriers; applied federal health policy and HIPAA compliance in a high-risk service environment.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Risk Reduction Coordinator / CR2i Specialist (GS-0101-11 / GS-0301-12)  —  III Corps Fort Hood</w:t>
      </w:r>
      <w:r>
        <w:rPr>
          <w:rFonts w:ascii="Calibri" w:cs="Calibri" w:eastAsia="Calibri" w:hAnsi="Calibri"/>
          <w:b w:val="false"/>
          <w:bCs w:val="false"/>
          <w:color w:val="94A3B8"/>
          <w:sz w:val="20"/>
          <w:szCs w:val="20"/>
        </w:rPr>
        <w:t xml:space="preserve">     Jul 2021–May 2023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Coordinated readiness, behavioral health, and human services programs for 450,000 Soldiers and families; multi-stakeholder liaison across clinical, legal, HR, and command channels; delivered data-driven briefings to senior leaders.</w:t>
      </w:r>
    </w:p>
    <w:p>
      <w:pPr>
        <w:spacing w:after="0" w:before="40"/>
      </w:pPr>
      <w:r>
        <w:rPr>
          <w:sz w:val="4"/>
          <w:szCs w:val="4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Veterans Service Representative / Legal Administrative Specialist  —  VA VBA Waco</w:t>
      </w:r>
      <w:r>
        <w:rPr>
          <w:rFonts w:ascii="Calibri" w:cs="Calibri" w:eastAsia="Calibri" w:hAnsi="Calibri"/>
          <w:b w:val="false"/>
          <w:bCs w:val="false"/>
          <w:color w:val="94A3B8"/>
          <w:sz w:val="20"/>
          <w:szCs w:val="20"/>
        </w:rPr>
        <w:t xml:space="preserve">     Jun 2017–Jul 2021</w:t>
      </w:r>
    </w:p>
    <w:p>
      <w:p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Adjudicated veteran disability claims and coordinated legal/administrative appeals; direct counseling to veterans navigating complex benefit systems; Outstanding performance rating FY2019–2020.</w:t>
      </w:r>
    </w:p>
    <w:p>
      <w:pPr>
        <w:pBdr>
          <w:bottom w:val="single" w:color="E2E8F0" w:sz="4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Bdr>
          <w:bottom w:val="single" w:color="0D9488" w:sz="6"/>
        </w:pBdr>
        <w:spacing w:after="60" w:before="28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EDUCATION &amp; CREDENTIALS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Degrees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MS, Implementation Science (in progress)  —  Geisel School of Medicine at Dartmouth  |  2026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Doctor of Health Administration (DHA)  —  Virginia University of Lynchburg  |  2024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Doctor of Business Administration (DBA) — in progress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MS, Human Resource Management  |  MS, I-O Psychology  |  MS, Criminal Justice/Public Policy  —  Walden University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Graduate Certificate, Business Analytics  —  Texas A&amp;M University  |  2023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BS, Healthcare Management  —  South University  |  2021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Community Health &amp; Safety Credentials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Community Health Worker Instructor  —  Texas DSHS #657, UNT Health Science Center (168 hours, valid through 2027)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Six Sigma Lean Green Belt in Healthcare  —  MSI (Cert #189435541, 2023)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ASIST Applied Suicide Intervention Skills Trainer  —  LivingWorks (2015)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DoD Prevention Level 2  —  Integrated Prevention Workforce, Joint Staff J-7 (2022)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Stanford Medicine AI in Healthcare  —  12.00 AMA PRA Category 1 CME (2024)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FEMA ICS/NIMS: IS-100, IS-200, IS-700, IS-800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color w:val="0D9488"/>
          <w:sz w:val="20"/>
          <w:szCs w:val="20"/>
        </w:rPr>
        <w:t xml:space="preserve">Federal Grants &amp; Contracting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FAC-COR (Contracting Officer's Representative) — Federal Acquisition Certification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Grants management experience: TWC RFA, CDC DFC, NSF, ARPA-H, USDA NIFA, OMB Uniform Guidance compliance</w:t>
      </w:r>
    </w:p>
    <w:p>
      <w:pPr>
        <w:spacing w:after="0" w:before="12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Prepared by ThriveUp Academy  •  The Collaborative Advocate Foundation  •  thrivingcommunitiesforall.com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Terry D. Flood — Partnership Resume</dc:title>
  <dc:creator>ThriveUp Academy — TCAF</dc:creator>
  <dc:description>Partnership profile with accurate ThriveUp Academy and LifeBridge platform capabilities</dc:description>
  <cp:lastModifiedBy>Un-named</cp:lastModifiedBy>
  <cp:revision>1</cp:revision>
  <dcterms:created xsi:type="dcterms:W3CDTF">2026-06-18T17:06:48.931Z</dcterms:created>
  <dcterms:modified xsi:type="dcterms:W3CDTF">2026-06-18T17:06:48.983Z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