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26"/>
        </w:rPr>
        <w:t>What sequence-based models can and cannot do for splice-site prediction and ASO ranking when the biological data are small: a student computational study on SMN2</w:t>
      </w:r>
    </w:p>
    <w:p>
      <w:pPr>
        <w:spacing w:after="40"/>
        <w:jc w:val="center"/>
      </w:pPr>
      <w:r>
        <w:rPr>
          <w:rFonts w:ascii="Times New Roman" w:hAnsi="Times New Roman" w:eastAsia="Times New Roman"/>
          <w:b w:val="0"/>
          <w:i w:val="0"/>
          <w:sz w:val="22"/>
        </w:rPr>
        <w:t>Murathan Kızılırmak</w:t>
      </w:r>
    </w:p>
    <w:p>
      <w:pPr>
        <w:spacing w:after="40"/>
        <w:jc w:val="center"/>
      </w:pPr>
      <w:r>
        <w:rPr>
          <w:rFonts w:ascii="Times New Roman" w:hAnsi="Times New Roman" w:eastAsia="Times New Roman"/>
          <w:b w:val="0"/>
          <w:i/>
          <w:sz w:val="20"/>
        </w:rPr>
        <w:t>High school student, Turkey</w:t>
      </w:r>
    </w:p>
    <w:p>
      <w:pPr>
        <w:spacing w:after="40"/>
        <w:jc w:val="center"/>
      </w:pPr>
      <w:r>
        <w:rPr>
          <w:rFonts w:ascii="Times New Roman" w:hAnsi="Times New Roman" w:eastAsia="Times New Roman"/>
          <w:b w:val="0"/>
          <w:i w:val="0"/>
          <w:sz w:val="20"/>
        </w:rPr>
        <w:t>mrthn.kzlrmk.865@gmail.com</w:t>
      </w:r>
    </w:p>
    <w:p>
      <w:pPr>
        <w:spacing w:after="280"/>
        <w:jc w:val="center"/>
      </w:pPr>
      <w:r>
        <w:rPr>
          <w:rFonts w:ascii="Times New Roman" w:hAnsi="Times New Roman" w:eastAsia="Times New Roman"/>
          <w:b w:val="0"/>
          <w:i w:val="0"/>
          <w:sz w:val="20"/>
        </w:rPr>
        <w:t>Code and data: https://github.com/mrthnkzlrmk865-cmd/SMN2-QNN-ASO</w:t>
      </w:r>
    </w:p>
    <w:p>
      <w:pPr>
        <w:spacing w:before="280" w:after="120"/>
        <w:ind w:firstLine="0"/>
        <w:jc w:val="left"/>
      </w:pPr>
      <w:r>
        <w:rPr>
          <w:rFonts w:ascii="Times New Roman" w:hAnsi="Times New Roman" w:eastAsia="Times New Roman"/>
          <w:b/>
          <w:i w:val="0"/>
          <w:sz w:val="24"/>
        </w:rPr>
        <w:t>Abstract</w:t>
      </w:r>
    </w:p>
    <w:p>
      <w:pPr>
        <w:spacing w:after="160" w:before="0" w:line="276" w:lineRule="auto"/>
        <w:ind w:firstLine="432"/>
        <w:jc w:val="both"/>
      </w:pPr>
      <w:r>
        <w:rPr>
          <w:rFonts w:ascii="Times New Roman" w:hAnsi="Times New Roman" w:eastAsia="Times New Roman"/>
          <w:b w:val="0"/>
          <w:i w:val="0"/>
          <w:sz w:val="22"/>
        </w:rPr>
        <w:t>This project asks a practical question: with only limited real biological data, how far can simple sequence models go for (1) predicting RNA splice sites and (2) ranking antisense oligonucleotides (ASOs) that change splicing? I built a from-scratch pipeline on five human genes (SMN2, BRCA1, TP53, CFTR, HBB), compared a quantum neural network (QNN), classical ML models (SVM, MLP), a position weight matrix (PWM), and a MaxEntScan-style Markov model under fair splits and gene-level holdout, then tested ASO scoring on a retrospective panel that grew from 18 to 85 real sequences (SMN2, DMD, and a full 67-ASO BIM walk).</w:t>
      </w:r>
    </w:p>
    <w:p>
      <w:pPr>
        <w:spacing w:after="160" w:before="0" w:line="276" w:lineRule="auto"/>
        <w:ind w:firstLine="432"/>
        <w:jc w:val="both"/>
      </w:pPr>
      <w:r>
        <w:rPr>
          <w:rFonts w:ascii="Times New Roman" w:hAnsi="Times New Roman" w:eastAsia="Times New Roman"/>
          <w:b w:val="0"/>
          <w:i w:val="0"/>
          <w:sz w:val="22"/>
        </w:rPr>
        <w:t>Main findings: (i) a simple PWM generalised better than higher-capacity models on small splice-site data; (ii) complementarity-based ASO scores can separate real SMN2 silencer-targeting sequences from unrelated controls, but fail when two ASOs bind the same element with opposite effects, and fail on BIM under holdout (n=33); (iii) simple supervised sequence classifiers trained on SMN2/DMD do not transfer to BIM, while within BIM only a weak ranking signal appears. These limits are reported as results, not hidden. Larger multi-target quantitative ASO datasets and features beyond raw sequence (for example RNA structure or regulatory context) are the natural next steps. This write-up is intended as a clear record of what was tested and what failed, and as a basis for guidance from researchers in the field.</w:t>
      </w:r>
    </w:p>
    <w:p>
      <w:pPr>
        <w:spacing w:after="240"/>
        <w:ind w:firstLine="0"/>
      </w:pPr>
      <w:r>
        <w:rPr>
          <w:rFonts w:ascii="Times New Roman" w:hAnsi="Times New Roman" w:eastAsia="Times New Roman"/>
          <w:b/>
          <w:i w:val="0"/>
          <w:sz w:val="20"/>
        </w:rPr>
        <w:t xml:space="preserve">Keywords: </w:t>
      </w:r>
      <w:r>
        <w:rPr>
          <w:rFonts w:ascii="Times New Roman" w:hAnsi="Times New Roman" w:eastAsia="Times New Roman"/>
          <w:b w:val="0"/>
          <w:i/>
          <w:sz w:val="20"/>
        </w:rPr>
        <w:t>splice sites; antisense oligonucleotides; SMN2; BIM; PWM; machine learning; holdout validation</w:t>
      </w:r>
    </w:p>
    <w:p>
      <w:pPr>
        <w:spacing w:before="280" w:after="120"/>
        <w:ind w:firstLine="0"/>
        <w:jc w:val="left"/>
      </w:pPr>
      <w:r>
        <w:rPr>
          <w:rFonts w:ascii="Times New Roman" w:hAnsi="Times New Roman" w:eastAsia="Times New Roman"/>
          <w:b/>
          <w:i w:val="0"/>
          <w:sz w:val="24"/>
        </w:rPr>
        <w:t>1. Introduction</w:t>
      </w:r>
    </w:p>
    <w:p>
      <w:pPr>
        <w:spacing w:after="160" w:before="0" w:line="276" w:lineRule="auto"/>
        <w:ind w:firstLine="432"/>
        <w:jc w:val="both"/>
      </w:pPr>
      <w:r>
        <w:rPr>
          <w:rFonts w:ascii="Times New Roman" w:hAnsi="Times New Roman" w:eastAsia="Times New Roman"/>
          <w:b w:val="0"/>
          <w:i w:val="0"/>
          <w:sz w:val="22"/>
        </w:rPr>
        <w:t>Spinal muscular atrophy (SMA) is linked to loss of SMN1. SMN2 can partly compensate if exon 7 is included. The drug nusinersen is an ASO that targets the intronic silencer ISS-N1 in SMN2 and promotes exon-7 inclusion. That biology raises two computational questions: which RNA regions are good ASO targets, and once a region is known, which ASO sequence is more effective?</w:t>
      </w:r>
    </w:p>
    <w:p>
      <w:pPr>
        <w:spacing w:after="160" w:before="0" w:line="276" w:lineRule="auto"/>
        <w:ind w:firstLine="432"/>
        <w:jc w:val="both"/>
      </w:pPr>
      <w:r>
        <w:rPr>
          <w:rFonts w:ascii="Times New Roman" w:hAnsi="Times New Roman" w:eastAsia="Times New Roman"/>
          <w:b w:val="0"/>
          <w:i w:val="0"/>
          <w:sz w:val="22"/>
        </w:rPr>
        <w:t>I am a high school student. I built this project to learn how sequence-based models behave when the ground truth is real but small, and to document failures as carefully as successes. Feedback from Professor Toshifumi Yokota shaped the later stages: use independent holdouts, grow a real retrospective ASO set, avoid over-complicating the score, and treat negative findings as useful conclusions.</w:t>
      </w:r>
    </w:p>
    <w:p>
      <w:pPr>
        <w:spacing w:before="280" w:after="120"/>
        <w:ind w:firstLine="0"/>
        <w:jc w:val="left"/>
      </w:pPr>
      <w:r>
        <w:rPr>
          <w:rFonts w:ascii="Times New Roman" w:hAnsi="Times New Roman" w:eastAsia="Times New Roman"/>
          <w:b/>
          <w:i w:val="0"/>
          <w:sz w:val="24"/>
        </w:rPr>
        <w:t>2. Methods (short)</w:t>
      </w:r>
    </w:p>
    <w:p>
      <w:pPr>
        <w:spacing w:after="160" w:before="0" w:line="276" w:lineRule="auto"/>
        <w:ind w:firstLine="432"/>
        <w:jc w:val="both"/>
      </w:pPr>
      <w:r>
        <w:rPr>
          <w:rFonts w:ascii="Times New Roman" w:hAnsi="Times New Roman" w:eastAsia="Times New Roman"/>
          <w:b w:val="0"/>
          <w:i w:val="0"/>
          <w:sz w:val="22"/>
        </w:rPr>
        <w:t>Splice sites were recovered from genomic and mRNA sequences of five genes by alignment and checked against the GT–AG rule. Models compared under matched conditions included a majority baseline, SVM, MLP, a parametric QNN (with qubit ablations), a PWM, and a first-order Markov model. Evaluation used stratified splits and gene-level holdout (train on four genes, test on the fifth).</w:t>
      </w:r>
    </w:p>
    <w:p>
      <w:pPr>
        <w:spacing w:after="160" w:before="0" w:line="276" w:lineRule="auto"/>
        <w:ind w:firstLine="432"/>
        <w:jc w:val="both"/>
      </w:pPr>
      <w:r>
        <w:rPr>
          <w:rFonts w:ascii="Times New Roman" w:hAnsi="Times New Roman" w:eastAsia="Times New Roman"/>
          <w:b w:val="0"/>
          <w:i w:val="0"/>
          <w:sz w:val="22"/>
        </w:rPr>
        <w:t>For ASO ranking, an initial score (QNN + thermodynamics + off-target scan) was diagnosed and redesigned around on-target complementarity and length-aware off-target checks. A small position-aware rule for the known critical base 10C in ISS-N1 was tested only as a narrow fix. The retrospective panel was expanded to 85 sequences by adding the full BIM ASO walk from Liu et al. (Oncotarget 2017, Supplementary Table 1): 67 sequences with published activity labels (8 efficient/active, others weak, counter-therapeutic, or neutral). Development and holdout splits were fixed before scoring.</w:t>
      </w:r>
    </w:p>
    <w:p>
      <w:pPr>
        <w:spacing w:after="160" w:before="0" w:line="276" w:lineRule="auto"/>
        <w:ind w:firstLine="432"/>
        <w:jc w:val="both"/>
      </w:pPr>
      <w:r>
        <w:rPr>
          <w:rFonts w:ascii="Times New Roman" w:hAnsi="Times New Roman" w:eastAsia="Times New Roman"/>
          <w:b w:val="0"/>
          <w:i w:val="0"/>
          <w:sz w:val="22"/>
        </w:rPr>
        <w:t>As an extra check, simple supervised models (logistic regression, linear SVM, small MLP) were trained to predict active vs not-active from ASO sequence under gene-stratified holdout (train on SMN2/DMD, test on BIM; and within-BIM split).</w:t>
      </w:r>
    </w:p>
    <w:p>
      <w:pPr>
        <w:spacing w:before="280" w:after="120"/>
        <w:ind w:firstLine="0"/>
        <w:jc w:val="left"/>
      </w:pPr>
      <w:r>
        <w:rPr>
          <w:rFonts w:ascii="Times New Roman" w:hAnsi="Times New Roman" w:eastAsia="Times New Roman"/>
          <w:b/>
          <w:i w:val="0"/>
          <w:sz w:val="24"/>
        </w:rPr>
        <w:t>3. Results</w:t>
      </w:r>
    </w:p>
    <w:p>
      <w:pPr>
        <w:spacing w:before="200" w:after="120"/>
        <w:ind w:firstLine="0"/>
        <w:jc w:val="left"/>
      </w:pPr>
      <w:r>
        <w:rPr>
          <w:rFonts w:ascii="Times New Roman" w:hAnsi="Times New Roman" w:eastAsia="Times New Roman"/>
          <w:b/>
          <w:i w:val="0"/>
          <w:sz w:val="22"/>
        </w:rPr>
        <w:t>3.1 Splice-site prediction</w:t>
      </w:r>
    </w:p>
    <w:p>
      <w:pPr>
        <w:spacing w:after="160" w:before="0" w:line="276" w:lineRule="auto"/>
        <w:ind w:firstLine="432"/>
        <w:jc w:val="both"/>
      </w:pPr>
      <w:r>
        <w:rPr>
          <w:rFonts w:ascii="Times New Roman" w:hAnsi="Times New Roman" w:eastAsia="Times New Roman"/>
          <w:b w:val="0"/>
          <w:i w:val="0"/>
          <w:sz w:val="22"/>
        </w:rPr>
        <w:t>On limited data, the PWM reached the highest F1 (about 0.72 on the main split) and remained strongest under gene-level holdout. The QNN and more complex models did not show a stable advantage. Matching the feature window fairly improved SVM and MLP, but did not turn the QNN into the best model. The practical lesson is that with small real data, a simple domain-specific model can generalise better than higher capacity.</w:t>
      </w:r>
    </w:p>
    <w:p>
      <w:pPr>
        <w:spacing w:before="200" w:after="120"/>
        <w:ind w:firstLine="0"/>
        <w:jc w:val="left"/>
      </w:pPr>
      <w:r>
        <w:rPr>
          <w:rFonts w:ascii="Times New Roman" w:hAnsi="Times New Roman" w:eastAsia="Times New Roman"/>
          <w:b/>
          <w:i w:val="0"/>
          <w:sz w:val="22"/>
        </w:rPr>
        <w:t>3.2 ASO scoring</w:t>
      </w:r>
    </w:p>
    <w:p>
      <w:pPr>
        <w:spacing w:after="160" w:before="0" w:line="276" w:lineRule="auto"/>
        <w:ind w:firstLine="432"/>
        <w:jc w:val="both"/>
      </w:pPr>
      <w:r>
        <w:rPr>
          <w:rFonts w:ascii="Times New Roman" w:hAnsi="Times New Roman" w:eastAsia="Times New Roman"/>
          <w:b w:val="0"/>
          <w:i w:val="0"/>
          <w:sz w:val="22"/>
        </w:rPr>
        <w:t>The first scoring version ranked real active ASOs, including nusinersen, below controls. After redesign, separation of true SMN2 silencer-targeting sequences from scrambled or unrelated sequences improved. A remaining failure was L14: an ASO that binds ISS-N1 but increases exon-7 skipping. Pure complementarity cannot tell helpful from harmful binding at the same element. A 10C positional rule fixed that one known case on holdout but is not a general solution.</w:t>
      </w:r>
    </w:p>
    <w:p>
      <w:pPr>
        <w:spacing w:after="160" w:before="0" w:line="276" w:lineRule="auto"/>
        <w:ind w:firstLine="432"/>
        <w:jc w:val="both"/>
      </w:pPr>
      <w:r>
        <w:rPr>
          <w:rFonts w:ascii="Times New Roman" w:hAnsi="Times New Roman" w:eastAsia="Times New Roman"/>
          <w:b w:val="0"/>
          <w:i w:val="0"/>
          <w:sz w:val="22"/>
        </w:rPr>
        <w:t>On the expanded panel (n=85), gene-stratified holdout was decisive. For SMN2, active sequences still scored higher than inactive ones (holdout means about 0.80 vs 0.65, p≈0.04). For BIM, there was no separation (active about 0.53 vs inactive 0.55, p≈0.89, n=33). Overall “significant” numbers without gene breakdown were misleading. The score is more trustworthy only inside its SMN2 intron-7 design scope.</w:t>
      </w:r>
    </w:p>
    <w:p>
      <w:pPr>
        <w:spacing w:before="200" w:after="120"/>
        <w:ind w:firstLine="0"/>
        <w:jc w:val="left"/>
      </w:pPr>
      <w:r>
        <w:rPr>
          <w:rFonts w:ascii="Times New Roman" w:hAnsi="Times New Roman" w:eastAsia="Times New Roman"/>
          <w:b/>
          <w:i w:val="0"/>
          <w:sz w:val="22"/>
        </w:rPr>
        <w:t>3.3 Supervised sequence models on the ASO panel</w:t>
      </w:r>
    </w:p>
    <w:p>
      <w:pPr>
        <w:spacing w:after="160" w:before="0" w:line="276" w:lineRule="auto"/>
        <w:ind w:firstLine="432"/>
        <w:jc w:val="both"/>
      </w:pPr>
      <w:r>
        <w:rPr>
          <w:rFonts w:ascii="Times New Roman" w:hAnsi="Times New Roman" w:eastAsia="Times New Roman"/>
          <w:b w:val="0"/>
          <w:i w:val="0"/>
          <w:sz w:val="22"/>
        </w:rPr>
        <w:t>Low-capacity sequence classifiers were trained under gene-stratified holdout. Models trained on SMN2/DMD did not transfer to BIM (AUC about 0.44; no gain over a majority baseline; F1 near zero). Within BIM, the same model types showed only weak ranking signal (AUC about 0.64–0.67) and still did not beat the majority baseline on accuracy, given few active examples in the test set. So the failure of complementarity scoring on BIM is not fixed by simple supervised learning from sequence alone at this sample size. Cross-gene generalisation failed; within-gene signal was weak.</w:t>
      </w:r>
    </w:p>
    <w:p>
      <w:pPr>
        <w:spacing w:before="200" w:after="120"/>
        <w:ind w:firstLine="0"/>
        <w:jc w:val="left"/>
      </w:pPr>
      <w:r>
        <w:rPr>
          <w:rFonts w:ascii="Times New Roman" w:hAnsi="Times New Roman" w:eastAsia="Times New Roman"/>
          <w:b/>
          <w:i w:val="0"/>
          <w:sz w:val="22"/>
        </w:rPr>
        <w:t>3.4 Target-region scanning</w:t>
      </w:r>
    </w:p>
    <w:p>
      <w:pPr>
        <w:spacing w:after="160" w:before="0" w:line="276" w:lineRule="auto"/>
        <w:ind w:firstLine="432"/>
        <w:jc w:val="both"/>
      </w:pPr>
      <w:r>
        <w:rPr>
          <w:rFonts w:ascii="Times New Roman" w:hAnsi="Times New Roman" w:eastAsia="Times New Roman"/>
          <w:b w:val="0"/>
          <w:i w:val="0"/>
          <w:sz w:val="22"/>
        </w:rPr>
        <w:t>Transparent scanners (composition features, richer features, local contrast) were tested against quantitative SMN2 ASO-walk data and known regulatory regions. None reliably recovered the same known regions or gave a trustworthy correlation with measured exon-inclusion effects. This is reported as a ceiling for simple sequence scanning on the data used here.</w:t>
      </w:r>
    </w:p>
    <w:p>
      <w:pPr>
        <w:spacing w:before="280" w:after="120"/>
        <w:ind w:firstLine="0"/>
        <w:jc w:val="left"/>
      </w:pPr>
      <w:r>
        <w:rPr>
          <w:rFonts w:ascii="Times New Roman" w:hAnsi="Times New Roman" w:eastAsia="Times New Roman"/>
          <w:b/>
          <w:i w:val="0"/>
          <w:sz w:val="24"/>
        </w:rPr>
        <w:t>4. Discussion</w:t>
      </w:r>
    </w:p>
    <w:p>
      <w:pPr>
        <w:spacing w:after="160" w:before="0" w:line="276" w:lineRule="auto"/>
        <w:ind w:firstLine="432"/>
        <w:jc w:val="both"/>
      </w:pPr>
      <w:r>
        <w:rPr>
          <w:rFonts w:ascii="Times New Roman" w:hAnsi="Times New Roman" w:eastAsia="Times New Roman"/>
          <w:b w:val="0"/>
          <w:i w:val="0"/>
          <w:sz w:val="22"/>
        </w:rPr>
        <w:t>Three points stand out. First, when real labels are scarce, matching model complexity to data size matters more than using a more fashionable architecture. Second, two ASOs can bind the same regulatory element and have opposite effects; complementarity and simple sequence features are not enough to predict splice-modulatory activity in general. Third, independent holdouts and gene-stratified reporting stopped us from over-claiming pooled statistics.</w:t>
      </w:r>
    </w:p>
    <w:p>
      <w:pPr>
        <w:spacing w:after="160" w:before="0" w:line="276" w:lineRule="auto"/>
        <w:ind w:firstLine="432"/>
        <w:jc w:val="both"/>
      </w:pPr>
      <w:r>
        <w:rPr>
          <w:rFonts w:ascii="Times New Roman" w:hAnsi="Times New Roman" w:eastAsia="Times New Roman"/>
          <w:b w:val="0"/>
          <w:i w:val="0"/>
          <w:sz w:val="22"/>
        </w:rPr>
        <w:t>I do not propose new ASOs for synthesis from this score. Useful next steps, following expert advice, are larger quantitative ASO-walk or mutagenesis sets across several targets, and features that capture structure or regulatory context, tested for reproducibility across genes rather than fit to one region.</w:t>
      </w:r>
    </w:p>
    <w:p>
      <w:pPr>
        <w:spacing w:before="280" w:after="120"/>
        <w:ind w:firstLine="0"/>
        <w:jc w:val="left"/>
      </w:pPr>
      <w:r>
        <w:rPr>
          <w:rFonts w:ascii="Times New Roman" w:hAnsi="Times New Roman" w:eastAsia="Times New Roman"/>
          <w:b/>
          <w:i w:val="0"/>
          <w:sz w:val="24"/>
        </w:rPr>
        <w:t>5. Conclusion</w:t>
      </w:r>
    </w:p>
    <w:p>
      <w:pPr>
        <w:spacing w:after="160" w:before="0" w:line="276" w:lineRule="auto"/>
        <w:ind w:firstLine="432"/>
        <w:jc w:val="both"/>
      </w:pPr>
      <w:r>
        <w:rPr>
          <w:rFonts w:ascii="Times New Roman" w:hAnsi="Times New Roman" w:eastAsia="Times New Roman"/>
          <w:b w:val="0"/>
          <w:i w:val="0"/>
          <w:sz w:val="22"/>
        </w:rPr>
        <w:t>This student project systematically compared sequence-based splice-site models and ASO ranking under small real ground truth, with fair splits and holdouts. A simple PWM beat more complex models for splice sites. ASO complementarity scoring worked in a narrow SMN2 scope and failed on BIM and on opposite-effect binders at the same element. Simple supervised sequence models did not rescue cross-gene ranking. The negative results are intentional parts of the report. The write-up is meant to be honest, reproducible via the public repository, and open to guidance on the next experimental or computational steps.</w:t>
      </w:r>
    </w:p>
    <w:p>
      <w:pPr>
        <w:spacing w:before="280" w:after="120"/>
        <w:ind w:firstLine="0"/>
        <w:jc w:val="left"/>
      </w:pPr>
      <w:r>
        <w:rPr>
          <w:rFonts w:ascii="Times New Roman" w:hAnsi="Times New Roman" w:eastAsia="Times New Roman"/>
          <w:b/>
          <w:i w:val="0"/>
          <w:sz w:val="24"/>
        </w:rPr>
        <w:t>Data and code</w:t>
      </w:r>
    </w:p>
    <w:p>
      <w:pPr>
        <w:spacing w:after="160" w:before="0" w:line="276" w:lineRule="auto"/>
        <w:ind w:firstLine="0"/>
        <w:jc w:val="both"/>
      </w:pPr>
      <w:r>
        <w:rPr>
          <w:rFonts w:ascii="Times New Roman" w:hAnsi="Times New Roman" w:eastAsia="Times New Roman"/>
          <w:b w:val="0"/>
          <w:i w:val="0"/>
          <w:sz w:val="22"/>
        </w:rPr>
        <w:t>All code, results, figures, and the curated ASO panel (including the BIM walk) are at: https://github.com/mrthnkzlrmk865-cmd/SMN2-QNN-ASO</w:t>
      </w:r>
    </w:p>
    <w:p>
      <w:pPr>
        <w:spacing w:before="280" w:after="120"/>
        <w:ind w:firstLine="0"/>
        <w:jc w:val="left"/>
      </w:pPr>
      <w:r>
        <w:rPr>
          <w:rFonts w:ascii="Times New Roman" w:hAnsi="Times New Roman" w:eastAsia="Times New Roman"/>
          <w:b/>
          <w:i w:val="0"/>
          <w:sz w:val="24"/>
        </w:rPr>
        <w:t>Acknowledgments</w:t>
      </w:r>
    </w:p>
    <w:p>
      <w:pPr>
        <w:spacing w:after="160" w:before="0" w:line="276" w:lineRule="auto"/>
        <w:ind w:firstLine="0"/>
        <w:jc w:val="both"/>
      </w:pPr>
      <w:r>
        <w:rPr>
          <w:rFonts w:ascii="Times New Roman" w:hAnsi="Times New Roman" w:eastAsia="Times New Roman"/>
          <w:b w:val="0"/>
          <w:i w:val="0"/>
          <w:sz w:val="22"/>
        </w:rPr>
        <w:t>I thank Professor Toshifumi Yokota for detailed feedback on retrospective validation, holdout design, framing of target-region versus ASO-sequence questions, and the advice to consolidate findings before adding model complexity or wet-lab steps. Any remaining errors are my own.</w:t>
      </w:r>
    </w:p>
    <w:p>
      <w:pPr>
        <w:spacing w:before="280" w:after="120"/>
        <w:ind w:firstLine="0"/>
        <w:jc w:val="left"/>
      </w:pPr>
      <w:r>
        <w:rPr>
          <w:rFonts w:ascii="Times New Roman" w:hAnsi="Times New Roman" w:eastAsia="Times New Roman"/>
          <w:b/>
          <w:i w:val="0"/>
          <w:sz w:val="24"/>
        </w:rPr>
        <w:t>References (selected)</w:t>
      </w:r>
    </w:p>
    <w:p>
      <w:pPr>
        <w:spacing w:after="80"/>
        <w:ind w:left="360" w:hanging="360"/>
      </w:pPr>
      <w:r>
        <w:rPr>
          <w:rFonts w:ascii="Times New Roman" w:hAnsi="Times New Roman" w:eastAsia="Times New Roman"/>
          <w:b w:val="0"/>
          <w:i w:val="0"/>
          <w:sz w:val="18"/>
        </w:rPr>
        <w:t>Hua Y, et al. Antisense masking of an hnRNP A1/A2 intronic splicing silencer corrects SMN2 splicing in transgenic mice. J Clin Invest. 2008.</w:t>
      </w:r>
    </w:p>
    <w:p>
      <w:pPr>
        <w:spacing w:after="80"/>
        <w:ind w:left="360" w:hanging="360"/>
      </w:pPr>
      <w:r>
        <w:rPr>
          <w:rFonts w:ascii="Times New Roman" w:hAnsi="Times New Roman" w:eastAsia="Times New Roman"/>
          <w:b w:val="0"/>
          <w:i w:val="0"/>
          <w:sz w:val="18"/>
        </w:rPr>
        <w:t>Liu J, et al. Overcoming imatinib resistance conferred by the BIM deletion polymorphism… with splice-switching antisense oligonucleotides. Oncotarget. 2017;8:77567–77585. PMC5652800.</w:t>
      </w:r>
    </w:p>
    <w:p>
      <w:pPr>
        <w:spacing w:after="80"/>
        <w:ind w:left="360" w:hanging="360"/>
      </w:pPr>
      <w:r>
        <w:rPr>
          <w:rFonts w:ascii="Times New Roman" w:hAnsi="Times New Roman" w:eastAsia="Times New Roman"/>
          <w:b w:val="0"/>
          <w:i w:val="0"/>
          <w:sz w:val="18"/>
        </w:rPr>
        <w:t>Full source list for the ASO panel and walk data: project repository (results/ and documentation files).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