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ELTR 100- Electrical Network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Course Overview</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Unit 1 - Basic concepts, electrical quantities, electrical components, Ohm’s Law, Kirchhoff’s Laws, series circuits, parallel circuits, series-parallel circuits. (Ch. 1-6)</w:t>
      </w: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Unit 2 - Network theorems, networks analysis techniques, Thevenin’s Theorem, Norton’s Theorem, mesh analysis, maximum power theorem, nodal analysis. (Ch. 7-8)</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Unit 3 - Electromagnetism, measuring instruments, basic AC theory, oscilloscopes. (Ch. 9-12)</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Unit 4 - Inductance, inductive reactance, RL circuits, transformers. (Ch. 13-16)</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Unit 5 - Capacitance, capacitive reactance, RC circuits (Ch. 17-19)</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Unit 6 - RLC Circuits, resonance. (Ch. 20-21)</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ELTR 130 – Digital Logic Systems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Course Overview</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Unit 1 – Foundational concepts and number systems (Ch. 1-2)</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Unit 2 – Basic logic functions and logic gates (Ch. 3)</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Unit 3 – Boolean Algebra (Ch. 4)</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Unit 4 – Combinational logic, functions and analysis (Ch. 5-6)</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Unit 5 – Specialized logic ICs: Latches, timers, flip-flops, registers and counters (Ch 7-9)</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ELTR 150 – Solid State Semiconductor Devices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Course Overview</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Unit 1 – Semiconductors &amp; Diodes (Ch. 1-3)</w:t>
      </w: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Unit 2 – Bipolar Junction Transistors (BJTs) (Ch. 4)</w:t>
      </w: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Unit 3 – BJT Amplifiers (Ch. 6-7)</w:t>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Unit 4 – Field-Effect Transistors (FETs), FET Amplifiers, Frequency Response (Ch. 8-10)</w:t>
      </w: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Unit 5 – Thyristors (Ch. 11)</w:t>
      </w: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Unit 6 – Operational Amplifiers (Op-Amps), and Op-Amp circuits (Ch. 12-13)</w:t>
      </w: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Unit 7 – Active Filters, Oscillators and Voltage Regulators (Ch. 15-17)</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ELTR 160 – Project Management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Course Overview</w:t>
      </w:r>
    </w:p>
    <w:p w:rsidR="00000000" w:rsidDel="00000000" w:rsidP="00000000" w:rsidRDefault="00000000" w:rsidRPr="00000000" w14:paraId="00000022">
      <w:pPr>
        <w:rPr>
          <w:b w:val="1"/>
        </w:rPr>
      </w:pPr>
      <w:r w:rsidDel="00000000" w:rsidR="00000000" w:rsidRPr="00000000">
        <w:rPr>
          <w:b w:val="1"/>
          <w:rtl w:val="0"/>
        </w:rPr>
        <w:t xml:space="preserve">Course topics will include: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Project Management concepts</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Basic definition and elements of a project.</w:t>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Team members and stakeholders</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Ethical considerations for projects</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 PMI Methodology</w:t>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Agile Methodology</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Scrum Methodology</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Project documents</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Legal and professional accountability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ELTR 170 – Electronic System Integration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Course Overview</w:t>
      </w:r>
    </w:p>
    <w:p w:rsidR="00000000" w:rsidDel="00000000" w:rsidP="00000000" w:rsidRDefault="00000000" w:rsidRPr="00000000" w14:paraId="00000030">
      <w:pPr>
        <w:rPr>
          <w:b w:val="1"/>
        </w:rPr>
      </w:pPr>
      <w:r w:rsidDel="00000000" w:rsidR="00000000" w:rsidRPr="00000000">
        <w:rPr>
          <w:b w:val="1"/>
          <w:rtl w:val="0"/>
        </w:rPr>
        <w:t xml:space="preserve">Course topics will include: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Introduction to Digital Home Technology Integration</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Basic Integration Methods</w:t>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Low-Voltage Wiring</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High-Voltage Wiring</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Audio and Video Systems</w:t>
      </w: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Basic Telecommunications Integration</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Home Lighting Control</w:t>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Home Environmental Control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ELTR 180 – Networks and Data Communications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Course Overview</w:t>
      </w:r>
    </w:p>
    <w:p w:rsidR="00000000" w:rsidDel="00000000" w:rsidP="00000000" w:rsidRDefault="00000000" w:rsidRPr="00000000" w14:paraId="0000003D">
      <w:pPr>
        <w:rPr>
          <w:b w:val="1"/>
        </w:rPr>
      </w:pPr>
      <w:r w:rsidDel="00000000" w:rsidR="00000000" w:rsidRPr="00000000">
        <w:rPr>
          <w:b w:val="1"/>
          <w:rtl w:val="0"/>
        </w:rPr>
        <w:t xml:space="preserve">Course topics will include: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Basic definition of a network, brief history, and common uses</w:t>
      </w: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OSI &amp; TCP/IP network models</w:t>
      </w: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Application Layer</w:t>
      </w: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Transport Layer</w:t>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Internet Layer</w:t>
      </w: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Network infrastructure layer</w:t>
      </w: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Servers &amp; clients</w:t>
      </w:r>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Network devices (Modems, routers, switches, cables, wireless access points)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ELTR 190 – Electronics Capstone Project</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Course Overview</w:t>
      </w:r>
    </w:p>
    <w:p w:rsidR="00000000" w:rsidDel="00000000" w:rsidP="00000000" w:rsidRDefault="00000000" w:rsidRPr="00000000" w14:paraId="0000004A">
      <w:pPr>
        <w:rPr/>
      </w:pPr>
      <w:r w:rsidDel="00000000" w:rsidR="00000000" w:rsidRPr="00000000">
        <w:rPr>
          <w:rtl w:val="0"/>
        </w:rPr>
        <w:t xml:space="preserve">This project is self-directed. Your instructor will be available to you as a resource but will not necessarily provide any overt or unprompted direction on how to proceed. Each student is responsible for the management of time, scope, quality, and resources for their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E8sekPAfAAwa6LSN5lmOory8w==">AMUW2mWezXfNs6Uf9k0fJXtRIzgW9tq3aVWuz+rSg8MOx21JUk1b13rCzqrYXjLE+6Wu3NI13PSGIxjX+umGvts7zhUUheetuIncYKxqTek9c+rlACx01vU=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