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b/>
          <w:color w:val="0F172A"/>
          <w:sz w:val="34"/>
        </w:rPr>
        <w:t>FORM MRPL-NDT-04: Statutory Vessel Inspection &amp; Technical Approval Note</w:t>
      </w:r>
    </w:p>
    <w:p>
      <w:r>
        <w:t>Equipment Tag: Crude Distillation Column Vessel V-1001 (CDU-II)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Technical Parameter</w:t>
            </w:r>
          </w:p>
        </w:tc>
        <w:tc>
          <w:tcPr>
            <w:tcW w:type="dxa" w:w="432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Recorded Value</w:t>
            </w:r>
          </w:p>
        </w:tc>
      </w:tr>
      <w:tr>
        <w:tc>
          <w:tcPr>
            <w:tcW w:type="dxa" w:w="432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Material</w:t>
            </w:r>
          </w:p>
        </w:tc>
        <w:tc>
          <w:tcPr>
            <w:tcW w:type="dxa" w:w="432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Carbon Steel SA-516 Gr 70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Nominal Thickness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14.0 mm</w:t>
            </w:r>
          </w:p>
        </w:tc>
      </w:tr>
      <w:tr>
        <w:tc>
          <w:tcPr>
            <w:tcW w:type="dxa" w:w="432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Minimum Design Thickness (t_min)</w:t>
            </w:r>
          </w:p>
        </w:tc>
        <w:tc>
          <w:tcPr>
            <w:tcW w:type="dxa" w:w="432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9.5 mm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Critical Measured Thickness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11.2 mm (Tray #14 Feed Nozzle)</w:t>
            </w:r>
          </w:p>
        </w:tc>
      </w:tr>
      <w:tr>
        <w:tc>
          <w:tcPr>
            <w:tcW w:type="dxa" w:w="432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Corrosion Rate</w:t>
            </w:r>
          </w:p>
        </w:tc>
        <w:tc>
          <w:tcPr>
            <w:tcW w:type="dxa" w:w="432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0.12 mm/year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Remaining Life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14.16 years = (11.2 − 9.5) / 0.12</w:t>
            </w:r>
          </w:p>
        </w:tc>
      </w:tr>
    </w:tbl>
    <w:p>
      <w:pPr>
        <w:pStyle w:val="Heading2"/>
      </w:pPr>
      <w:r>
        <w:t>Statutory Compliance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16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216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216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Inspection criteria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OISD-STD-117 §4.3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Remaining corrosion life reviewed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COMPLIANT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Pressure vessel code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IS 2825:1969 §6.1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Inspection record cross-checked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COMPLIANT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In-service inspection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API 510 §6.4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Thickness trend reviewed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COMPLIANT</w:t>
            </w:r>
          </w:p>
        </w:tc>
      </w:tr>
    </w:tbl>
    <w:p>
      <w:pPr>
        <w:pStyle w:val="Heading2"/>
      </w:pPr>
      <w:r>
        <w:t>Recommendation</w:t>
      </w:r>
    </w:p>
    <w:p>
      <w:r>
        <w:t>A 36-month service extension is recorded in this mock assessment, through September 2029, subject to applicable statutory approvals and plant authorization.</w:t>
      </w:r>
    </w:p>
    <w:p>
      <w:pPr>
        <w:pStyle w:val="Heading2"/>
      </w:pPr>
      <w:r>
        <w:t>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Name / ID</w:t>
            </w:r>
          </w:p>
        </w:tc>
        <w:tc>
          <w:tcPr>
            <w:tcW w:type="dxa" w:w="288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Signature / Hash</w:t>
            </w:r>
          </w:p>
        </w:tc>
      </w:tr>
      <w:tr>
        <w:tc>
          <w:tcPr>
            <w:tcW w:type="dxa" w:w="288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Senior Quality Inspector</w:t>
            </w:r>
          </w:p>
        </w:tc>
        <w:tc>
          <w:tcPr>
            <w:tcW w:type="dxa" w:w="288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Rina Sharma / MRPL/QI/2891</w:t>
            </w:r>
          </w:p>
        </w:tc>
        <w:tc>
          <w:tcPr>
            <w:tcW w:type="dxa" w:w="288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DIGITAL HASH: DEMO-7A91-C2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Chief Process Manager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Dev Nair / MRPL/PE/1247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DIGITAL HASH: DEMO-9F31-K8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Controlled Document | Quality Inspection &amp; Process Safety Division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MRPL | QUALITY INSPECTION &amp; PROCESS SAFETY DIVISION | MRPL/QI/2026/AP-2891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