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b/>
          <w:color w:val="0F172A"/>
          <w:sz w:val="34"/>
        </w:rPr>
        <w:t>MRPL Statutory Compliance &amp; Safety Audit Dossier — OISD-STD-117</w:t>
      </w:r>
    </w:p>
    <w:p>
      <w:r>
        <w:t>Scope: Inspection of Unfired Pressure Vessels (CDU/VDU Columns and Strippers)</w:t>
      </w:r>
    </w:p>
    <w:p>
      <w:pPr>
        <w:pStyle w:val="Heading2"/>
      </w:pPr>
      <w:r>
        <w:t>Regulatory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288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Audit Focus</w:t>
            </w:r>
          </w:p>
        </w:tc>
        <w:tc>
          <w:tcPr>
            <w:tcW w:type="dxa" w:w="288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Mock Assessment</w:t>
            </w:r>
          </w:p>
        </w:tc>
      </w:tr>
      <w:tr>
        <w:tc>
          <w:tcPr>
            <w:tcW w:type="dxa" w:w="288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OISD-STD-117 §4.3.1</w:t>
            </w:r>
          </w:p>
        </w:tc>
        <w:tc>
          <w:tcPr>
            <w:tcW w:type="dxa" w:w="288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Inspection frequency &amp; remaining corrosion life rules</w:t>
            </w:r>
          </w:p>
        </w:tc>
        <w:tc>
          <w:tcPr>
            <w:tcW w:type="dxa" w:w="288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Reviewed against inspection interval and projected life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IS 2825:1969 §6.1.4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Hydrostatic test hold at 1.5× MAWP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Recorded as verification checkpoint</w:t>
            </w:r>
          </w:p>
        </w:tc>
      </w:tr>
      <w:tr>
        <w:tc>
          <w:tcPr>
            <w:tcW w:type="dxa" w:w="288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ASME Sec VIII Div 1 UG-32</w:t>
            </w:r>
          </w:p>
        </w:tc>
        <w:tc>
          <w:tcPr>
            <w:tcW w:type="dxa" w:w="288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Shell thickness minimum design equations</w:t>
            </w:r>
          </w:p>
        </w:tc>
        <w:tc>
          <w:tcPr>
            <w:tcW w:type="dxa" w:w="288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Thickness basis reviewed</w:t>
            </w:r>
          </w:p>
        </w:tc>
      </w:tr>
    </w:tbl>
    <w:p>
      <w:pPr>
        <w:pStyle w:val="Heading2"/>
      </w:pPr>
      <w:r>
        <w:t>Technical Audit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Point</w:t>
            </w:r>
          </w:p>
        </w:tc>
        <w:tc>
          <w:tcPr>
            <w:tcW w:type="dxa" w:w="216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216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vAlign w:val="center"/>
            <w:shd w:fill="1E3A8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Grid Point 01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Grid Point 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Grid Point 03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Grid Point 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Grid Point 05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Grid Point 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Grid Point 07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Grid Point 08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Grid Point 09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Grid Point 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Grid Point 11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Grid Point 12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Grid Point 13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Grid Point 14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Grid Point 15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Grid Point 16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Grid Point 17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  <w:shd w:fill="F7FAFC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Grid Point 18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Thickness / visual / record check completed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</w:tr>
    </w:tbl>
    <w:p>
      <w:pPr>
        <w:pStyle w:val="Heading2"/>
      </w:pPr>
      <w:r>
        <w:t>Official Sign-off (Mock)</w:t>
      </w:r>
    </w:p>
    <w:p>
      <w:r>
        <w:t>This assessment records the inspection basis, compliance checks and technical disposition for the equipment identified in this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Controlled Document | Quality Inspection &amp; Process Safety Division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MRPL | QUALITY INSPECTION &amp; PROCESS SAFETY DIVISION | MRPL/AUD/2026/OISD-117-REV03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