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b/>
          <w:color w:val="0F172A"/>
          <w:sz w:val="34"/>
        </w:rPr>
        <w:t>Standard Operating Procedure: Hydrocracker Unit (HCU) Emergency Shutdown (ESD) &amp; Flare Depressurization</w:t>
      </w:r>
    </w:p>
    <w:p>
      <w:r>
        <w:t>Standards: OISD-GDN-169 • API RP 521 • IEC 61508 (SIL-3 reference)</w:t>
      </w:r>
    </w:p>
    <w:p>
      <w:pPr>
        <w:pStyle w:val="Heading2"/>
      </w:pPr>
      <w:r>
        <w:t>Operating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Design Pressure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175 kg/cm²g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Operating Pressure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148 kg/cm²g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Temperature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415°C</w:t>
            </w:r>
          </w:p>
        </w:tc>
      </w:tr>
    </w:tbl>
    <w:p>
      <w:pPr>
        <w:pStyle w:val="Heading2"/>
      </w:pPr>
      <w:r>
        <w:t>Interlock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Trip Tag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Automated Action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PSHH-4012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High Pressure @ 158 kg/cm²g; 2oo3 voting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Close XV-4001 in 1.8s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VERIFY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PSHH-4012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High Pressure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Open BDV-4005 flare depressurization in 2.2s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VERIFY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I-409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ESD sequence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Trip feed pumps P-4001A/B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VERIFY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H2-Q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Reactor protection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Inject HP H2 quench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VERIFY</w:t>
            </w:r>
          </w:p>
        </w:tc>
      </w:tr>
    </w:tbl>
    <w:p>
      <w:pPr>
        <w:pStyle w:val="Heading2"/>
      </w:pPr>
      <w:r>
        <w:t>Control Room Emergency Verification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Confirm ESD annunciation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☐ Operator acknowledgement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Verify XV-4001 closed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☐ Position feedback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Verify BDV-4005 opened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☐ Position feedback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Confirm P-4001A/B trip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☐ Motor status</w:t>
            </w:r>
          </w:p>
        </w:tc>
      </w:tr>
      <w:tr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Confirm H2 quench</w:t>
            </w:r>
          </w:p>
        </w:tc>
        <w:tc>
          <w:tcPr>
            <w:tcW w:type="dxa" w:w="432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☐ Flow indication</w:t>
            </w:r>
          </w:p>
        </w:tc>
      </w:tr>
    </w:tbl>
    <w:p>
      <w:r>
        <w:t>Certification reference: TÜV Rheinland SIL-3 assessment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Controlled Document | Quality Inspection &amp; Process Safety Division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MRPL | QUALITY INSPECTION &amp; PROCESS SAFETY DIVISION | MRPL-EOP-HCU-41-2026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