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Value-added gap vs. rolling (deterministic foresight), by scenario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70"/>
        <w:gridCol w:w="1157"/>
        <w:gridCol w:w="1095"/>
        <w:gridCol w:w="1157"/>
        <w:gridCol w:w="1095"/>
      </w:tblGrid>
      <w:tr>
        <w:trPr>
          <w:trHeight w:val="578" w:hRule="auto"/>
          <w:tblHeader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2E7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Scenario</w:t>
            </w:r>
          </w:p>
        </w:tc>
        <w:tc>
          <w:tcPr>
            <w:gridSpan w:val="2"/>
            <w:tcBorders>
              <w:bottom w:val="single" w:sz="8" w:space="0" w:color="FFFFFF"/>
              <w:top w:val="none" w:sz="0" w:space="0" w:color="000000"/>
              <w:left w:val="single" w:sz="8" w:space="0" w:color="DDDDDD"/>
              <w:right w:val="single" w:sz="8" w:space="0" w:color="DDDDDD"/>
            </w:tcBorders>
            <w:shd w:val="clear" w:color="auto" w:fill="2E7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Greedy</w:t>
            </w:r>
          </w:p>
        </w:tc>
        <w:tc>
          <w:tcPr>
            <w:gridSpan w:val="2"/>
            <w:tcBorders>
              <w:bottom w:val="single" w:sz="8" w:space="0" w:color="FFFFFF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2E7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Myopic</w:t>
            </w:r>
          </w:p>
        </w:tc>
      </w:tr>
      <w:tr>
        <w:trPr>
          <w:trHeight w:val="578" w:hRule="auto"/>
          <w:tblHeader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2E7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</w:p>
        </w:tc>
        <w:tc>
          <w:tcPr>
            <w:tcBorders>
              <w:bottom w:val="none" w:sz="0" w:space="0" w:color="000000"/>
              <w:top w:val="single" w:sz="8" w:space="0" w:color="FFFFFF"/>
              <w:left w:val="single" w:sz="8" w:space="0" w:color="DDDDDD"/>
              <w:right w:val="none" w:sz="0" w:space="0" w:color="000000"/>
            </w:tcBorders>
            <w:shd w:val="clear" w:color="auto" w:fill="2E7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gap %</w:t>
            </w:r>
          </w:p>
        </w:tc>
        <w:tc>
          <w:tcPr>
            <w:tcBorders>
              <w:bottom w:val="none" w:sz="0" w:space="0" w:color="000000"/>
              <w:top w:val="single" w:sz="8" w:space="0" w:color="FFFFFF"/>
              <w:left w:val="none" w:sz="0" w:space="0" w:color="000000"/>
              <w:right w:val="single" w:sz="8" w:space="0" w:color="DDDDDD"/>
            </w:tcBorders>
            <w:shd w:val="clear" w:color="auto" w:fill="2E7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Δpairs</w:t>
            </w:r>
          </w:p>
        </w:tc>
        <w:tc>
          <w:tcPr>
            <w:tcBorders>
              <w:bottom w:val="none" w:sz="0" w:space="0" w:color="000000"/>
              <w:top w:val="single" w:sz="8" w:space="0" w:color="FFFFFF"/>
              <w:left w:val="single" w:sz="8" w:space="0" w:color="DDDDDD"/>
              <w:right w:val="none" w:sz="0" w:space="0" w:color="000000"/>
            </w:tcBorders>
            <w:shd w:val="clear" w:color="auto" w:fill="2E7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gap %</w:t>
            </w:r>
          </w:p>
        </w:tc>
        <w:tc>
          <w:tcPr>
            <w:tcBorders>
              <w:bottom w:val="none" w:sz="0" w:space="0" w:color="000000"/>
              <w:top w:val="single" w:sz="8" w:space="0" w:color="FFFFFF"/>
              <w:left w:val="none" w:sz="0" w:space="0" w:color="000000"/>
              <w:right w:val="none" w:sz="0" w:space="0" w:color="000000"/>
            </w:tcBorders>
            <w:shd w:val="clear" w:color="auto" w:fill="2E7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Δpairs</w:t>
            </w:r>
          </w:p>
        </w:tc>
      </w:tr>
      <w:tr>
        <w:trPr>
          <w:trHeight w:val="5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RCP 4.5 wet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  <w:t xml:space="preserve">44.07%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  <w:t xml:space="preserve">93,038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  <w:t xml:space="preserve">13.99%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  <w:t xml:space="preserve">29,531</w:t>
            </w:r>
          </w:p>
        </w:tc>
      </w:tr>
      <w:tr>
        <w:trPr>
          <w:trHeight w:val="5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RCP 4.5 dry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  <w:t xml:space="preserve">44.46%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  <w:t xml:space="preserve">64,363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  <w:t xml:space="preserve">11.97%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  <w:t xml:space="preserve">17,326</w:t>
            </w:r>
          </w:p>
        </w:tc>
      </w:tr>
      <w:tr>
        <w:trPr>
          <w:trHeight w:val="5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RCP 8.5 wet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  <w:t xml:space="preserve">45.67%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  <w:t xml:space="preserve">99,900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  <w:t xml:space="preserve">14.18%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  <w:t xml:space="preserve">31,030</w:t>
            </w:r>
          </w:p>
        </w:tc>
      </w:tr>
      <w:tr>
        <w:trPr>
          <w:trHeight w:val="5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RCP 8.5 dry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  <w:t xml:space="preserve">42.91%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  <w:t xml:space="preserve">52,400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  <w:t xml:space="preserve">14.94%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  <w:t xml:space="preserve">18,248</w:t>
            </w:r>
          </w:p>
        </w:tc>
      </w:tr>
      <w:tr>
        <w:trPr>
          <w:trHeight w:val="5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Stationary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  <w:t xml:space="preserve">1.19%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  <w:t xml:space="preserve">&lt;1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  <w:t xml:space="preserve">1.49%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  <w:t xml:space="preserve">&lt;1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666666"/>
              </w:rPr>
              <w:t xml:space="preserve">gap % = shortfall as % of rolling's value-added.  Δpairs = rolling value-added − model value-added (discounted duck-pairs).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mrubenstein</cp:lastModifiedBy>
  <cp:revision>9</cp:revision>
  <dcterms:created xsi:type="dcterms:W3CDTF">2017-02-28T11:18:00Z</dcterms:created>
  <dcterms:modified xsi:type="dcterms:W3CDTF">2026-07-14T09:39:25Z</dcterms:modified>
  <cp:category/>
</cp:coreProperties>
</file>