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Value-added gap vs. rolling (deterministic foresight), by scenario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0"/>
        <w:gridCol w:w="1157"/>
        <w:gridCol w:w="1206"/>
        <w:gridCol w:w="1157"/>
        <w:gridCol w:w="1095"/>
      </w:tblGrid>
      <w:tr>
        <w:trPr>
          <w:trHeight w:val="578" w:hRule="auto"/>
          <w:tblHeader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Scenario</w:t>
            </w:r>
          </w:p>
        </w:tc>
        <w:tc>
          <w:tcPr>
            <w:gridSpan w:val="2"/>
            <w:tcBorders>
              <w:bottom w:val="single" w:sz="8" w:space="0" w:color="FFFFFF"/>
              <w:top w:val="none" w:sz="0" w:space="0" w:color="000000"/>
              <w:left w:val="single" w:sz="8" w:space="0" w:color="DDDDDD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Greedy</w:t>
            </w:r>
          </w:p>
        </w:tc>
        <w:tc>
          <w:tcPr>
            <w:gridSpan w:val="2"/>
            <w:tcBorders>
              <w:bottom w:val="single" w:sz="8" w:space="0" w:color="FFFFFF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Myopic</w:t>
            </w:r>
          </w:p>
        </w:tc>
      </w:tr>
      <w:tr>
        <w:trPr>
          <w:trHeight w:val="578" w:hRule="auto"/>
          <w:tblHeader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FFFFFF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gap %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none" w:sz="0" w:space="0" w:color="000000"/>
              <w:right w:val="single" w:sz="8" w:space="0" w:color="DDDDDD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Δpairs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single" w:sz="8" w:space="0" w:color="DDDDDD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gap %</w:t>
            </w:r>
          </w:p>
        </w:tc>
        <w:tc>
          <w:tcPr>
            <w:tcBorders>
              <w:bottom w:val="none" w:sz="0" w:space="0" w:color="000000"/>
              <w:top w:val="single" w:sz="8" w:space="0" w:color="FFFFFF"/>
              <w:left w:val="none" w:sz="0" w:space="0" w:color="000000"/>
              <w:right w:val="none" w:sz="0" w:space="0" w:color="000000"/>
            </w:tcBorders>
            <w:shd w:val="clear" w:color="auto" w:fill="2E7D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Δpairs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4.5 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45.07%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94,752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13.77%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28,950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4.5 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45.08%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69,094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13.35%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20,462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8.5 wet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45.54%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104,915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14.92%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34,371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RCP 8.5 dry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43.35%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54,229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15.28%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F5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19,109</w:t>
            </w:r>
          </w:p>
        </w:tc>
      </w:tr>
      <w:tr>
        <w:trPr>
          <w:trHeight w:val="56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1.75%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DDDDDD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0413E"/>
              </w:rPr>
              <w:t xml:space="preserve">&lt;1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DDDDDD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1.28%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B8801E"/>
              </w:rPr>
              <w:t xml:space="preserve">&lt;1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666666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7"/>
                <w:szCs w:val="17"/>
                <w:color w:val="666666"/>
              </w:rPr>
              <w:t xml:space="preserve">gap % = shortfall as % of rolling's value-added.  Δpairs = rolling value-added − model value-added (discounted duck-pairs).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mrubenstein</cp:lastModifiedBy>
  <cp:revision>9</cp:revision>
  <dcterms:created xsi:type="dcterms:W3CDTF">2017-02-28T11:18:00Z</dcterms:created>
  <dcterms:modified xsi:type="dcterms:W3CDTF">2026-06-26T06:31:40Z</dcterms:modified>
  <cp:category/>
</cp:coreProperties>
</file>