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4690" w14:textId="77777777" w:rsidR="004961AC" w:rsidRPr="0086547F" w:rsidRDefault="004961AC" w:rsidP="004961AC">
      <w:pPr>
        <w:pStyle w:val="Title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6547F">
        <w:rPr>
          <w:rFonts w:ascii="Times New Roman" w:hAnsi="Times New Roman" w:cs="Times New Roman"/>
          <w:color w:val="000000" w:themeColor="text1"/>
          <w:sz w:val="40"/>
          <w:szCs w:val="40"/>
        </w:rPr>
        <w:t>Business Summary Report: Predictive Insights for Collections Strategy</w:t>
      </w:r>
    </w:p>
    <w:p w14:paraId="1CA5C334" w14:textId="77777777" w:rsidR="004961AC" w:rsidRPr="0086547F" w:rsidRDefault="004961AC" w:rsidP="004961A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6547F">
        <w:rPr>
          <w:rFonts w:ascii="Times New Roman" w:hAnsi="Times New Roman" w:cs="Times New Roman"/>
          <w:color w:val="000000" w:themeColor="text1"/>
        </w:rPr>
        <w:t>1. Summary of Predictive Insights</w:t>
      </w:r>
    </w:p>
    <w:p w14:paraId="1E3E60E8" w14:textId="77777777" w:rsidR="004961AC" w:rsidRPr="0086547F" w:rsidRDefault="004961AC" w:rsidP="004961AC">
      <w:pPr>
        <w:ind w:firstLine="720"/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color w:val="000000" w:themeColor="text1"/>
          <w:lang w:val="en-IN"/>
        </w:rPr>
        <w:t xml:space="preserve">An initial exploration of the dataset and the predictive framework </w:t>
      </w:r>
      <w:proofErr w:type="gramStart"/>
      <w:r w:rsidRPr="0086547F">
        <w:rPr>
          <w:rFonts w:ascii="Times New Roman" w:hAnsi="Times New Roman" w:cs="Times New Roman"/>
          <w:color w:val="000000" w:themeColor="text1"/>
          <w:lang w:val="en-IN"/>
        </w:rPr>
        <w:t>highlights</w:t>
      </w:r>
      <w:proofErr w:type="gramEnd"/>
      <w:r w:rsidRPr="0086547F">
        <w:rPr>
          <w:rFonts w:ascii="Times New Roman" w:hAnsi="Times New Roman" w:cs="Times New Roman"/>
          <w:color w:val="000000" w:themeColor="text1"/>
          <w:lang w:val="en-IN"/>
        </w:rPr>
        <w:t xml:space="preserve"> clear patterns related to customer repayment behaviour. Customers who are younger, carry higher financial pressure, and have a history of missed payments are more likely to fall into delinquency. Elevated credit utilization combined with repeated late payments is a strong indicator of repayment risk. Additionally, customers with a short relationship history with the institution tend to show inconsistent payment behaviour due to limited credit experience.</w:t>
      </w:r>
    </w:p>
    <w:p w14:paraId="5A1874E7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Key Insights Summary Table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04"/>
        <w:gridCol w:w="1475"/>
        <w:gridCol w:w="3848"/>
        <w:gridCol w:w="2197"/>
      </w:tblGrid>
      <w:tr w:rsidR="004961AC" w:rsidRPr="0086547F" w14:paraId="6E2429FE" w14:textId="77777777" w:rsidTr="0084387E"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9ACD6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95A9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2616B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0045D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4961AC" w:rsidRPr="0086547F" w14:paraId="4A887288" w14:textId="77777777" w:rsidTr="0084387E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BD6AD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Higher delinquency risk is linked to financial strain and weak payment history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7B025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Customers below 30 years with two or more missed payments and high credit utilization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D5AAD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Missed payments, credit utilization ratio, age, debt-to-income ratio, account tenure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C7384" w14:textId="77777777" w:rsidR="004961AC" w:rsidRPr="0086547F" w:rsidRDefault="004961AC" w:rsidP="008438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654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Early identification allows targeted engagement that can lower short-term delinquency and improve repayment consistency</w:t>
            </w:r>
          </w:p>
        </w:tc>
      </w:tr>
    </w:tbl>
    <w:p w14:paraId="6F9EB49A" w14:textId="77777777" w:rsidR="004961AC" w:rsidRPr="0086547F" w:rsidRDefault="004961AC" w:rsidP="004961A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6547F">
        <w:rPr>
          <w:rFonts w:ascii="Times New Roman" w:hAnsi="Times New Roman" w:cs="Times New Roman"/>
          <w:color w:val="000000" w:themeColor="text1"/>
        </w:rPr>
        <w:t>2. Recommendation Framework</w:t>
      </w:r>
    </w:p>
    <w:p w14:paraId="3683790C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</w:rPr>
      </w:pPr>
      <w:r w:rsidRPr="0086547F">
        <w:rPr>
          <w:rFonts w:ascii="Times New Roman" w:hAnsi="Times New Roman" w:cs="Times New Roman"/>
          <w:color w:val="000000" w:themeColor="text1"/>
        </w:rPr>
        <w:t>Based on one of your model’s insights, outline your recommended intervention. My recommendation is to follow a SMART approach (Specific, Measurable, Actionable, Relevant, Time-bound).</w:t>
      </w:r>
    </w:p>
    <w:p w14:paraId="6CC799FF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</w:rPr>
      </w:pPr>
      <w:r w:rsidRPr="0086547F">
        <w:rPr>
          <w:rFonts w:ascii="Times New Roman" w:hAnsi="Times New Roman" w:cs="Times New Roman"/>
          <w:color w:val="000000" w:themeColor="text1"/>
        </w:rPr>
        <w:t>Use the following subheadings to guide your structure:</w:t>
      </w:r>
    </w:p>
    <w:p w14:paraId="406BC745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Restated Insight: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Customers under the age of 30 with repeated missed payments and high credit utilization levels show a substantially higher likelihood of delinquency.</w:t>
      </w:r>
    </w:p>
    <w:p w14:paraId="01C870D2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Proposed Recommendation: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Introduce a focused digital engagement program aimed at supporting high-risk young customers and encouraging timely repayments.</w:t>
      </w:r>
    </w:p>
    <w:p w14:paraId="019CD819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Specific: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Focus on customers younger than 30 years who have missed payments two or more times and maintain credit utilization above 50%.</w:t>
      </w:r>
    </w:p>
    <w:p w14:paraId="791AE636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lastRenderedPageBreak/>
        <w:t>Measurable: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Target a minimum 10% reduction in 30-day delinquency rates within this customer group.</w:t>
      </w:r>
    </w:p>
    <w:p w14:paraId="17FEA01F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Actionable: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Leverage existing SMS and mobile app notification systems to deliver payment reminders and financial guidance.</w:t>
      </w:r>
    </w:p>
    <w:p w14:paraId="1E518B52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Relevant: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 xml:space="preserve">This approach aligns with </w:t>
      </w:r>
      <w:proofErr w:type="spellStart"/>
      <w:r w:rsidRPr="0086547F">
        <w:rPr>
          <w:rFonts w:ascii="Times New Roman" w:hAnsi="Times New Roman" w:cs="Times New Roman"/>
          <w:color w:val="000000" w:themeColor="text1"/>
          <w:lang w:val="en-IN"/>
        </w:rPr>
        <w:t>Geldium’s</w:t>
      </w:r>
      <w:proofErr w:type="spellEnd"/>
      <w:r w:rsidRPr="0086547F">
        <w:rPr>
          <w:rFonts w:ascii="Times New Roman" w:hAnsi="Times New Roman" w:cs="Times New Roman"/>
          <w:color w:val="000000" w:themeColor="text1"/>
          <w:lang w:val="en-IN"/>
        </w:rPr>
        <w:t xml:space="preserve"> objective of reducing credit risk while maintaining responsible and supportive customer relationships.</w:t>
      </w:r>
    </w:p>
    <w:p w14:paraId="395A9C43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Time-bound: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Execute the initiative over a six-week period, followed by a performance review.</w:t>
      </w:r>
    </w:p>
    <w:p w14:paraId="64297727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Justification and Business Rationale: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The recommendation is practical, scalable, and supported by data-driven insights. Concentrating on a clearly defined high-risk segment enables efficient use of resources and measurable improvements in repayment behaviour. The non-punitive nature of the intervention also helps preserve customer trust while reducing potential losses.</w:t>
      </w:r>
    </w:p>
    <w:p w14:paraId="25CCF194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</w:rPr>
      </w:pPr>
    </w:p>
    <w:p w14:paraId="425C8F82" w14:textId="77777777" w:rsidR="004961AC" w:rsidRPr="0086547F" w:rsidRDefault="004961AC" w:rsidP="004961A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6547F">
        <w:rPr>
          <w:rFonts w:ascii="Times New Roman" w:hAnsi="Times New Roman" w:cs="Times New Roman"/>
          <w:color w:val="000000" w:themeColor="text1"/>
        </w:rPr>
        <w:t>3. Ethical and Responsible AI Considerations</w:t>
      </w:r>
    </w:p>
    <w:p w14:paraId="73FA58C6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Fairness and Bias Risks: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Predictive outcomes may be influenced by historical data imbalances related to demographics or income levels. Routine bias testing and the use of balanced input features can help reduce unfair outcomes.</w:t>
      </w:r>
    </w:p>
    <w:p w14:paraId="662C8902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Explainability: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The model’s decisions are based on understandable financial indicators such as payment history, credit usage, and income stability, making results easy to explain to non-technical stakeholders.</w:t>
      </w:r>
    </w:p>
    <w:p w14:paraId="5590ECEA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Responsible Use of Predictions: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>Model insights are applied to guide supportive engagement rather than enforcement actions. Human oversight remains part of the decision process to ensure fairness.</w:t>
      </w:r>
    </w:p>
    <w:p w14:paraId="33DDA905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  <w:lang w:val="en-IN"/>
        </w:rPr>
      </w:pPr>
      <w:r w:rsidRPr="0086547F">
        <w:rPr>
          <w:rFonts w:ascii="Times New Roman" w:hAnsi="Times New Roman" w:cs="Times New Roman"/>
          <w:b/>
          <w:bCs/>
          <w:color w:val="000000" w:themeColor="text1"/>
          <w:lang w:val="en-IN"/>
        </w:rPr>
        <w:t>Transparency and Data Privacy:</w:t>
      </w:r>
      <w:r w:rsidRPr="0086547F">
        <w:rPr>
          <w:rFonts w:ascii="Times New Roman" w:hAnsi="Times New Roman" w:cs="Times New Roman"/>
          <w:color w:val="000000" w:themeColor="text1"/>
          <w:lang w:val="en-IN"/>
        </w:rPr>
        <w:br/>
        <w:t xml:space="preserve">Customer information is handled securely and anonymized where appropriate. Clear documentation and monitoring processes promote transparency, accountability, and </w:t>
      </w:r>
      <w:r w:rsidRPr="0086547F">
        <w:rPr>
          <w:rFonts w:ascii="Times New Roman" w:hAnsi="Times New Roman" w:cs="Times New Roman"/>
          <w:color w:val="000000" w:themeColor="text1"/>
        </w:rPr>
        <w:t>responsible AI adoption across collections activities.</w:t>
      </w:r>
    </w:p>
    <w:p w14:paraId="59AA00C1" w14:textId="77777777" w:rsidR="004961AC" w:rsidRPr="0086547F" w:rsidRDefault="004961AC" w:rsidP="004961AC">
      <w:pPr>
        <w:rPr>
          <w:rFonts w:ascii="Times New Roman" w:hAnsi="Times New Roman" w:cs="Times New Roman"/>
          <w:color w:val="000000" w:themeColor="text1"/>
        </w:rPr>
      </w:pPr>
    </w:p>
    <w:p w14:paraId="4E9F41DC" w14:textId="77777777" w:rsidR="000A06EE" w:rsidRPr="0086547F" w:rsidRDefault="000A06EE">
      <w:pPr>
        <w:rPr>
          <w:rFonts w:ascii="Times New Roman" w:hAnsi="Times New Roman" w:cs="Times New Roman"/>
        </w:rPr>
      </w:pPr>
    </w:p>
    <w:sectPr w:rsidR="000A06EE" w:rsidRPr="0086547F" w:rsidSect="004961A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AC"/>
    <w:rsid w:val="000A06EE"/>
    <w:rsid w:val="004961AC"/>
    <w:rsid w:val="0086547F"/>
    <w:rsid w:val="009C1A8E"/>
    <w:rsid w:val="009E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BFD3"/>
  <w15:chartTrackingRefBased/>
  <w15:docId w15:val="{02CF3A07-D619-4293-82FE-2B92B4F2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A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1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A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A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A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F6B22-CDBB-4A60-B55E-F6BAE0CD1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mrudhula kimidi</dc:creator>
  <cp:keywords/>
  <dc:description/>
  <cp:lastModifiedBy>mrudhula kimidi</cp:lastModifiedBy>
  <cp:revision>2</cp:revision>
  <dcterms:created xsi:type="dcterms:W3CDTF">2026-01-18T15:04:00Z</dcterms:created>
  <dcterms:modified xsi:type="dcterms:W3CDTF">2026-01-18T15:05:00Z</dcterms:modified>
</cp:coreProperties>
</file>