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EC2347" w14:textId="7C28973F" w:rsidR="00490A4F" w:rsidRDefault="00D93BEA">
      <w:pPr>
        <w:pStyle w:val="Title"/>
        <w:spacing w:after="120"/>
      </w:pPr>
      <w:r>
        <w:rPr>
          <w:b/>
          <w:bCs/>
          <w:color w:val="1F4E78"/>
          <w:sz w:val="40"/>
          <w:szCs w:val="40"/>
        </w:rPr>
        <w:t>Karnataka</w:t>
      </w:r>
      <w:r w:rsidR="00000000">
        <w:rPr>
          <w:b/>
          <w:bCs/>
          <w:color w:val="1F4E78"/>
          <w:sz w:val="40"/>
          <w:szCs w:val="40"/>
        </w:rPr>
        <w:t xml:space="preserve"> State E-Waste Management Scorecard</w:t>
      </w:r>
    </w:p>
    <w:p w14:paraId="22125873" w14:textId="77777777" w:rsidR="00490A4F" w:rsidRDefault="00000000">
      <w:pPr>
        <w:spacing w:after="400"/>
      </w:pPr>
      <w:r>
        <w:rPr>
          <w:i/>
          <w:iCs/>
          <w:color w:val="595959"/>
          <w:sz w:val="22"/>
          <w:szCs w:val="22"/>
        </w:rPr>
        <w:t>Analytical Report | Reporting Period: FY 2025-26</w:t>
      </w:r>
    </w:p>
    <w:p w14:paraId="34D7FEC8" w14:textId="77777777" w:rsidR="00490A4F" w:rsidRDefault="00000000">
      <w:pPr>
        <w:pStyle w:val="Heading1"/>
        <w:spacing w:before="300" w:after="150"/>
      </w:pPr>
      <w:r>
        <w:t>1. Executive Summary</w:t>
      </w:r>
    </w:p>
    <w:p w14:paraId="14AA3755" w14:textId="711C4391" w:rsidR="00D93BEA" w:rsidRPr="00D93BEA" w:rsidRDefault="00D93BEA" w:rsidP="00D93BEA">
      <w:pPr>
        <w:spacing w:after="160"/>
      </w:pPr>
      <w:r w:rsidRPr="00D93BEA">
        <w:t xml:space="preserve">Karnataka's state-level e-waste management performance was assessed using a 100-point scorecard framework aligned with the </w:t>
      </w:r>
      <w:r w:rsidRPr="00D93BEA">
        <w:rPr>
          <w:b/>
          <w:bCs/>
        </w:rPr>
        <w:t>E-Waste (Management) Rules, 2022 (CPCB, India)</w:t>
      </w:r>
      <w:r w:rsidRPr="00D93BEA">
        <w:t>, covering seven weighted categories: generation &amp; inventory reporting, collection performance, formal recycling &amp; treatment, regulatory compliance, informal sector integration, environmental &amp; health safeguards, and awareness &amp; outreach.</w:t>
      </w:r>
    </w:p>
    <w:p w14:paraId="49F0FD94" w14:textId="484C13B2" w:rsidR="00490A4F" w:rsidRDefault="00D93BEA" w:rsidP="00D93BEA">
      <w:pPr>
        <w:spacing w:after="160"/>
      </w:pPr>
      <w:r w:rsidRPr="00D93BEA">
        <w:t xml:space="preserve">Based on the state-level evaluation dataset compiled across all 31 districts of Karnataka, the state achieves a composite score of </w:t>
      </w:r>
      <w:r w:rsidRPr="00D93BEA">
        <w:rPr>
          <w:b/>
          <w:bCs/>
        </w:rPr>
        <w:t>61.4 out of 100</w:t>
      </w:r>
      <w:r w:rsidRPr="00D93BEA">
        <w:t xml:space="preserve">, placing it in the upper end of the </w:t>
      </w:r>
      <w:r w:rsidRPr="00D93BEA">
        <w:rPr>
          <w:b/>
          <w:bCs/>
        </w:rPr>
        <w:t>"Needs Improvement"</w:t>
      </w:r>
      <w:r w:rsidRPr="00D93BEA">
        <w:t xml:space="preserve"> band (45–64). Karnataka performs strongly on formal recycling infrastructure capacity (supported by 112 registered units and state nodal initiatives through KEONICS) and regulatory compliance via the Karnataka State Pollution Control Board (KSPCB). However, significant gaps persist in informal sector integration and district-wide collection equity across non-metropolitan regions.</w:t>
      </w:r>
    </w:p>
    <w:p w14:paraId="3D3CE78A" w14:textId="77777777" w:rsidR="00490A4F" w:rsidRDefault="00000000">
      <w:pPr>
        <w:pStyle w:val="Heading2"/>
        <w:spacing w:before="240" w:after="120"/>
      </w:pPr>
      <w:r>
        <w:t>Overall Score</w:t>
      </w:r>
    </w:p>
    <w:p w14:paraId="648B6BA1" w14:textId="47AC6D86" w:rsidR="00490A4F" w:rsidRDefault="00D93BEA">
      <w:pPr>
        <w:spacing w:after="200"/>
      </w:pPr>
      <w:r>
        <w:rPr>
          <w:b/>
          <w:bCs/>
          <w:color w:val="C00000"/>
          <w:sz w:val="40"/>
          <w:szCs w:val="40"/>
        </w:rPr>
        <w:t>61.4</w:t>
      </w:r>
      <w:r w:rsidR="00000000">
        <w:rPr>
          <w:b/>
          <w:bCs/>
          <w:color w:val="C00000"/>
          <w:sz w:val="40"/>
          <w:szCs w:val="40"/>
        </w:rPr>
        <w:t xml:space="preserve"> / 100  </w:t>
      </w:r>
      <w:r w:rsidR="00000000">
        <w:rPr>
          <w:b/>
          <w:bCs/>
          <w:color w:val="1F4E78"/>
          <w:sz w:val="24"/>
          <w:szCs w:val="24"/>
        </w:rPr>
        <w:t xml:space="preserve"> — NEEDS IMPROVEMENT</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tblGrid>
      <w:tr w:rsidR="00490A4F" w14:paraId="6ABD4E97" w14:textId="77777777">
        <w:tblPrEx>
          <w:tblCellMar>
            <w:top w:w="0" w:type="dxa"/>
            <w:bottom w:w="0" w:type="dxa"/>
          </w:tblCellMar>
        </w:tblPrEx>
        <w:tc>
          <w:tcPr>
            <w:tcW w:w="2000" w:type="dxa"/>
            <w:shd w:val="clear" w:color="auto" w:fill="1F4E78"/>
            <w:tcMar>
              <w:top w:w="80" w:type="dxa"/>
              <w:left w:w="100" w:type="dxa"/>
              <w:bottom w:w="80" w:type="dxa"/>
              <w:right w:w="100" w:type="dxa"/>
            </w:tcMar>
          </w:tcPr>
          <w:p w14:paraId="53ACD8CD" w14:textId="77777777" w:rsidR="00490A4F" w:rsidRDefault="00000000">
            <w:pPr>
              <w:jc w:val="center"/>
            </w:pPr>
            <w:r>
              <w:rPr>
                <w:b/>
                <w:bCs/>
                <w:color w:val="FFFFFF"/>
                <w:sz w:val="19"/>
                <w:szCs w:val="19"/>
              </w:rPr>
              <w:t>Score Range</w:t>
            </w:r>
          </w:p>
        </w:tc>
        <w:tc>
          <w:tcPr>
            <w:tcW w:w="3000" w:type="dxa"/>
            <w:shd w:val="clear" w:color="auto" w:fill="1F4E78"/>
            <w:tcMar>
              <w:top w:w="80" w:type="dxa"/>
              <w:left w:w="100" w:type="dxa"/>
              <w:bottom w:w="80" w:type="dxa"/>
              <w:right w:w="100" w:type="dxa"/>
            </w:tcMar>
          </w:tcPr>
          <w:p w14:paraId="29061E18" w14:textId="77777777" w:rsidR="00490A4F" w:rsidRDefault="00000000">
            <w:r>
              <w:rPr>
                <w:b/>
                <w:bCs/>
                <w:color w:val="FFFFFF"/>
                <w:sz w:val="19"/>
                <w:szCs w:val="19"/>
              </w:rPr>
              <w:t>Band</w:t>
            </w:r>
          </w:p>
        </w:tc>
      </w:tr>
      <w:tr w:rsidR="00490A4F" w14:paraId="5447036D" w14:textId="77777777">
        <w:tblPrEx>
          <w:tblCellMar>
            <w:top w:w="0" w:type="dxa"/>
            <w:bottom w:w="0" w:type="dxa"/>
          </w:tblCellMar>
        </w:tblPrEx>
        <w:tc>
          <w:tcPr>
            <w:tcW w:w="2000" w:type="dxa"/>
            <w:tcMar>
              <w:top w:w="80" w:type="dxa"/>
              <w:left w:w="100" w:type="dxa"/>
              <w:bottom w:w="80" w:type="dxa"/>
              <w:right w:w="100" w:type="dxa"/>
            </w:tcMar>
          </w:tcPr>
          <w:p w14:paraId="7B7CE8D1" w14:textId="77777777" w:rsidR="00490A4F" w:rsidRDefault="00000000">
            <w:pPr>
              <w:jc w:val="center"/>
            </w:pPr>
            <w:r>
              <w:rPr>
                <w:sz w:val="19"/>
                <w:szCs w:val="19"/>
              </w:rPr>
              <w:t>85-100</w:t>
            </w:r>
          </w:p>
        </w:tc>
        <w:tc>
          <w:tcPr>
            <w:tcW w:w="3000" w:type="dxa"/>
            <w:tcMar>
              <w:top w:w="80" w:type="dxa"/>
              <w:left w:w="100" w:type="dxa"/>
              <w:bottom w:w="80" w:type="dxa"/>
              <w:right w:w="100" w:type="dxa"/>
            </w:tcMar>
          </w:tcPr>
          <w:p w14:paraId="01FCA4B2" w14:textId="77777777" w:rsidR="00490A4F" w:rsidRDefault="00000000">
            <w:r>
              <w:rPr>
                <w:sz w:val="19"/>
                <w:szCs w:val="19"/>
              </w:rPr>
              <w:t>Excellent</w:t>
            </w:r>
          </w:p>
        </w:tc>
      </w:tr>
      <w:tr w:rsidR="00490A4F" w14:paraId="783A81F6" w14:textId="77777777">
        <w:tblPrEx>
          <w:tblCellMar>
            <w:top w:w="0" w:type="dxa"/>
            <w:bottom w:w="0" w:type="dxa"/>
          </w:tblCellMar>
        </w:tblPrEx>
        <w:tc>
          <w:tcPr>
            <w:tcW w:w="2000" w:type="dxa"/>
            <w:tcMar>
              <w:top w:w="80" w:type="dxa"/>
              <w:left w:w="100" w:type="dxa"/>
              <w:bottom w:w="80" w:type="dxa"/>
              <w:right w:w="100" w:type="dxa"/>
            </w:tcMar>
          </w:tcPr>
          <w:p w14:paraId="435B405F" w14:textId="77777777" w:rsidR="00490A4F" w:rsidRDefault="00000000">
            <w:pPr>
              <w:jc w:val="center"/>
            </w:pPr>
            <w:r>
              <w:rPr>
                <w:sz w:val="19"/>
                <w:szCs w:val="19"/>
              </w:rPr>
              <w:t>65-84</w:t>
            </w:r>
          </w:p>
        </w:tc>
        <w:tc>
          <w:tcPr>
            <w:tcW w:w="3000" w:type="dxa"/>
            <w:tcMar>
              <w:top w:w="80" w:type="dxa"/>
              <w:left w:w="100" w:type="dxa"/>
              <w:bottom w:w="80" w:type="dxa"/>
              <w:right w:w="100" w:type="dxa"/>
            </w:tcMar>
          </w:tcPr>
          <w:p w14:paraId="1EC149D7" w14:textId="77777777" w:rsidR="00490A4F" w:rsidRDefault="00000000">
            <w:r>
              <w:rPr>
                <w:sz w:val="19"/>
                <w:szCs w:val="19"/>
              </w:rPr>
              <w:t>Good</w:t>
            </w:r>
          </w:p>
        </w:tc>
      </w:tr>
      <w:tr w:rsidR="00490A4F" w14:paraId="1B43455F" w14:textId="77777777">
        <w:tblPrEx>
          <w:tblCellMar>
            <w:top w:w="0" w:type="dxa"/>
            <w:bottom w:w="0" w:type="dxa"/>
          </w:tblCellMar>
        </w:tblPrEx>
        <w:tc>
          <w:tcPr>
            <w:tcW w:w="2000" w:type="dxa"/>
            <w:shd w:val="clear" w:color="auto" w:fill="FFE699"/>
            <w:tcMar>
              <w:top w:w="80" w:type="dxa"/>
              <w:left w:w="100" w:type="dxa"/>
              <w:bottom w:w="80" w:type="dxa"/>
              <w:right w:w="100" w:type="dxa"/>
            </w:tcMar>
          </w:tcPr>
          <w:p w14:paraId="7798B7CB" w14:textId="77777777" w:rsidR="00490A4F" w:rsidRDefault="00000000">
            <w:pPr>
              <w:jc w:val="center"/>
            </w:pPr>
            <w:r>
              <w:rPr>
                <w:b/>
                <w:bCs/>
                <w:sz w:val="19"/>
                <w:szCs w:val="19"/>
              </w:rPr>
              <w:t>45-64</w:t>
            </w:r>
          </w:p>
        </w:tc>
        <w:tc>
          <w:tcPr>
            <w:tcW w:w="3000" w:type="dxa"/>
            <w:shd w:val="clear" w:color="auto" w:fill="FFE699"/>
            <w:tcMar>
              <w:top w:w="80" w:type="dxa"/>
              <w:left w:w="100" w:type="dxa"/>
              <w:bottom w:w="80" w:type="dxa"/>
              <w:right w:w="100" w:type="dxa"/>
            </w:tcMar>
          </w:tcPr>
          <w:p w14:paraId="38CFE9A6" w14:textId="77777777" w:rsidR="00490A4F" w:rsidRDefault="00000000">
            <w:r>
              <w:rPr>
                <w:b/>
                <w:bCs/>
                <w:sz w:val="19"/>
                <w:szCs w:val="19"/>
              </w:rPr>
              <w:t>Needs Improvement</w:t>
            </w:r>
          </w:p>
        </w:tc>
      </w:tr>
      <w:tr w:rsidR="00490A4F" w14:paraId="39C639A6" w14:textId="77777777">
        <w:tblPrEx>
          <w:tblCellMar>
            <w:top w:w="0" w:type="dxa"/>
            <w:bottom w:w="0" w:type="dxa"/>
          </w:tblCellMar>
        </w:tblPrEx>
        <w:tc>
          <w:tcPr>
            <w:tcW w:w="2000" w:type="dxa"/>
            <w:tcMar>
              <w:top w:w="80" w:type="dxa"/>
              <w:left w:w="100" w:type="dxa"/>
              <w:bottom w:w="80" w:type="dxa"/>
              <w:right w:w="100" w:type="dxa"/>
            </w:tcMar>
          </w:tcPr>
          <w:p w14:paraId="7EC90C99" w14:textId="77777777" w:rsidR="00490A4F" w:rsidRDefault="00000000">
            <w:pPr>
              <w:jc w:val="center"/>
            </w:pPr>
            <w:r>
              <w:rPr>
                <w:sz w:val="19"/>
                <w:szCs w:val="19"/>
              </w:rPr>
              <w:t>0-44</w:t>
            </w:r>
          </w:p>
        </w:tc>
        <w:tc>
          <w:tcPr>
            <w:tcW w:w="3000" w:type="dxa"/>
            <w:tcMar>
              <w:top w:w="80" w:type="dxa"/>
              <w:left w:w="100" w:type="dxa"/>
              <w:bottom w:w="80" w:type="dxa"/>
              <w:right w:w="100" w:type="dxa"/>
            </w:tcMar>
          </w:tcPr>
          <w:p w14:paraId="01F5478A" w14:textId="77777777" w:rsidR="00490A4F" w:rsidRDefault="00000000">
            <w:r>
              <w:rPr>
                <w:sz w:val="19"/>
                <w:szCs w:val="19"/>
              </w:rPr>
              <w:t>Critical</w:t>
            </w:r>
          </w:p>
        </w:tc>
      </w:tr>
    </w:tbl>
    <w:p w14:paraId="049E57D9" w14:textId="77777777" w:rsidR="00490A4F" w:rsidRDefault="00000000">
      <w:pPr>
        <w:pStyle w:val="Heading1"/>
        <w:spacing w:before="300" w:after="150"/>
      </w:pPr>
      <w:r>
        <w:t>2. Methodology</w:t>
      </w:r>
    </w:p>
    <w:p w14:paraId="74D2799D" w14:textId="50990B15" w:rsidR="00D93BEA" w:rsidRPr="00D93BEA" w:rsidRDefault="00D93BEA" w:rsidP="00D93BEA">
      <w:pPr>
        <w:spacing w:after="160"/>
      </w:pPr>
      <w:r w:rsidRPr="00D93BEA">
        <w:t>The scorecard aggregates data across seven underlying assessment criteria mapped to weighted category targets. Category scores are computed as:</w:t>
      </w:r>
      <w:r>
        <w:br/>
      </w:r>
      <w:r w:rsidRPr="00D93BEA">
        <w:drawing>
          <wp:inline distT="0" distB="0" distL="0" distR="0" wp14:anchorId="1A4B17B9" wp14:editId="4DD9C7AF">
            <wp:extent cx="5166808" cy="1112616"/>
            <wp:effectExtent l="0" t="0" r="0" b="0"/>
            <wp:docPr id="1450640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40660" name=""/>
                    <pic:cNvPicPr/>
                  </pic:nvPicPr>
                  <pic:blipFill>
                    <a:blip r:embed="rId7"/>
                    <a:stretch>
                      <a:fillRect/>
                    </a:stretch>
                  </pic:blipFill>
                  <pic:spPr>
                    <a:xfrm>
                      <a:off x="0" y="0"/>
                      <a:ext cx="5166808" cy="1112616"/>
                    </a:xfrm>
                    <a:prstGeom prst="rect">
                      <a:avLst/>
                    </a:prstGeom>
                  </pic:spPr>
                </pic:pic>
              </a:graphicData>
            </a:graphic>
          </wp:inline>
        </w:drawing>
      </w:r>
    </w:p>
    <w:p w14:paraId="44743F15" w14:textId="77777777" w:rsidR="00D93BEA" w:rsidRPr="00D93BEA" w:rsidRDefault="00D93BEA" w:rsidP="00D93BEA">
      <w:pPr>
        <w:spacing w:after="160"/>
      </w:pPr>
      <w:r w:rsidRPr="00D93BEA">
        <w:t>The composite state score is the sum of the seven category scores (maximum 100).</w:t>
      </w:r>
    </w:p>
    <w:p w14:paraId="3AA4D01C" w14:textId="77777777" w:rsidR="00D93BEA" w:rsidRPr="00D93BEA" w:rsidRDefault="00D93BEA" w:rsidP="00D93BEA">
      <w:pPr>
        <w:spacing w:after="160"/>
      </w:pPr>
      <w:r w:rsidRPr="00D93BEA">
        <w:rPr>
          <w:b/>
          <w:bCs/>
        </w:rPr>
        <w:t>Primary Institutional Data Sources:</w:t>
      </w:r>
    </w:p>
    <w:p w14:paraId="5FD0A6F3" w14:textId="77777777" w:rsidR="00D93BEA" w:rsidRPr="00D93BEA" w:rsidRDefault="00D93BEA" w:rsidP="00D93BEA">
      <w:pPr>
        <w:numPr>
          <w:ilvl w:val="0"/>
          <w:numId w:val="3"/>
        </w:numPr>
        <w:spacing w:after="160"/>
      </w:pPr>
      <w:r w:rsidRPr="00D93BEA">
        <w:rPr>
          <w:b/>
          <w:bCs/>
        </w:rPr>
        <w:t>Karnataka State Pollution Control Board (KSPCB):</w:t>
      </w:r>
      <w:r w:rsidRPr="00D93BEA">
        <w:t xml:space="preserve"> EPR compliance notices, annual return submissions, and environmental monitoring.</w:t>
      </w:r>
    </w:p>
    <w:p w14:paraId="62A19DE1" w14:textId="77777777" w:rsidR="00D93BEA" w:rsidRPr="00D93BEA" w:rsidRDefault="00D93BEA" w:rsidP="00D93BEA">
      <w:pPr>
        <w:numPr>
          <w:ilvl w:val="0"/>
          <w:numId w:val="3"/>
        </w:numPr>
        <w:spacing w:after="160"/>
      </w:pPr>
      <w:r w:rsidRPr="00D93BEA">
        <w:rPr>
          <w:b/>
          <w:bCs/>
        </w:rPr>
        <w:t>CPCB EPR Portal:</w:t>
      </w:r>
      <w:r w:rsidRPr="00D93BEA">
        <w:t xml:space="preserve"> Producer registration, target allocation, and recycler reporting.</w:t>
      </w:r>
    </w:p>
    <w:p w14:paraId="6D32A644" w14:textId="77777777" w:rsidR="00D93BEA" w:rsidRPr="00D93BEA" w:rsidRDefault="00D93BEA" w:rsidP="00D93BEA">
      <w:pPr>
        <w:numPr>
          <w:ilvl w:val="0"/>
          <w:numId w:val="3"/>
        </w:numPr>
        <w:spacing w:after="160"/>
      </w:pPr>
      <w:r w:rsidRPr="00D93BEA">
        <w:rPr>
          <w:b/>
          <w:bCs/>
        </w:rPr>
        <w:t>KEONICS (Karnataka State Electronics Development Corporation):</w:t>
      </w:r>
      <w:r w:rsidRPr="00D93BEA">
        <w:t xml:space="preserve"> State nodal authority for public e-waste aggregation and marketplace integration (Eco </w:t>
      </w:r>
      <w:proofErr w:type="spellStart"/>
      <w:r w:rsidRPr="00D93BEA">
        <w:t>eMarket</w:t>
      </w:r>
      <w:proofErr w:type="spellEnd"/>
      <w:r w:rsidRPr="00D93BEA">
        <w:t>).</w:t>
      </w:r>
    </w:p>
    <w:p w14:paraId="4B215D43" w14:textId="77777777" w:rsidR="00D93BEA" w:rsidRPr="00D93BEA" w:rsidRDefault="00D93BEA" w:rsidP="00D93BEA">
      <w:pPr>
        <w:numPr>
          <w:ilvl w:val="0"/>
          <w:numId w:val="3"/>
        </w:numPr>
        <w:spacing w:after="160"/>
      </w:pPr>
      <w:r w:rsidRPr="00D93BEA">
        <w:rPr>
          <w:b/>
          <w:bCs/>
        </w:rPr>
        <w:t>District Administration &amp; Municipal Reports:</w:t>
      </w:r>
      <w:r w:rsidRPr="00D93BEA">
        <w:t xml:space="preserve"> District-wise generation estimates across 31 districts.</w:t>
      </w:r>
    </w:p>
    <w:p w14:paraId="07DA13FF" w14:textId="5A03B62B" w:rsidR="00490A4F" w:rsidRDefault="00000000" w:rsidP="00D93BEA">
      <w:pPr>
        <w:spacing w:after="160"/>
      </w:pPr>
      <w:r>
        <w:t>3. Category-Wise Scorecard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2687"/>
        <w:gridCol w:w="905"/>
        <w:gridCol w:w="1582"/>
        <w:gridCol w:w="1547"/>
        <w:gridCol w:w="1258"/>
        <w:gridCol w:w="1154"/>
      </w:tblGrid>
      <w:tr w:rsidR="00D93BEA" w14:paraId="68BC6554" w14:textId="77777777" w:rsidTr="00D93BEA">
        <w:tblPrEx>
          <w:tblCellMar>
            <w:top w:w="0" w:type="dxa"/>
            <w:bottom w:w="0" w:type="dxa"/>
          </w:tblCellMar>
        </w:tblPrEx>
        <w:trPr>
          <w:tblHeader/>
        </w:trPr>
        <w:tc>
          <w:tcPr>
            <w:tcW w:w="506" w:type="dxa"/>
            <w:shd w:val="clear" w:color="auto" w:fill="1F4E78"/>
            <w:tcMar>
              <w:top w:w="80" w:type="dxa"/>
              <w:left w:w="100" w:type="dxa"/>
              <w:bottom w:w="80" w:type="dxa"/>
              <w:right w:w="100" w:type="dxa"/>
            </w:tcMar>
            <w:vAlign w:val="center"/>
          </w:tcPr>
          <w:p w14:paraId="543DE318" w14:textId="406A7971" w:rsidR="00D93BEA" w:rsidRDefault="00D93BEA" w:rsidP="00D93BEA">
            <w:pPr>
              <w:jc w:val="center"/>
            </w:pPr>
            <w:r>
              <w:rPr>
                <w:rStyle w:val="Strong"/>
                <w:rFonts w:ascii="Arial" w:hAnsi="Arial" w:cs="Arial"/>
              </w:rPr>
              <w:lastRenderedPageBreak/>
              <w:t>#</w:t>
            </w:r>
          </w:p>
        </w:tc>
        <w:tc>
          <w:tcPr>
            <w:tcW w:w="2828" w:type="dxa"/>
            <w:shd w:val="clear" w:color="auto" w:fill="1F4E78"/>
            <w:tcMar>
              <w:top w:w="80" w:type="dxa"/>
              <w:left w:w="100" w:type="dxa"/>
              <w:bottom w:w="80" w:type="dxa"/>
              <w:right w:w="100" w:type="dxa"/>
            </w:tcMar>
            <w:vAlign w:val="center"/>
          </w:tcPr>
          <w:p w14:paraId="653DF82B" w14:textId="5399684A" w:rsidR="00D93BEA" w:rsidRDefault="00D93BEA" w:rsidP="00D93BEA">
            <w:pPr>
              <w:jc w:val="center"/>
            </w:pPr>
            <w:r>
              <w:rPr>
                <w:rStyle w:val="Strong"/>
                <w:rFonts w:ascii="Arial" w:hAnsi="Arial" w:cs="Arial"/>
              </w:rPr>
              <w:t>Category</w:t>
            </w:r>
          </w:p>
        </w:tc>
        <w:tc>
          <w:tcPr>
            <w:tcW w:w="909" w:type="dxa"/>
            <w:shd w:val="clear" w:color="auto" w:fill="1F4E78"/>
            <w:tcMar>
              <w:top w:w="80" w:type="dxa"/>
              <w:left w:w="100" w:type="dxa"/>
              <w:bottom w:w="80" w:type="dxa"/>
              <w:right w:w="100" w:type="dxa"/>
            </w:tcMar>
            <w:vAlign w:val="center"/>
          </w:tcPr>
          <w:p w14:paraId="15666B68" w14:textId="7D0BCA81" w:rsidR="00D93BEA" w:rsidRDefault="00D93BEA" w:rsidP="00D93BEA">
            <w:pPr>
              <w:jc w:val="center"/>
            </w:pPr>
            <w:r>
              <w:rPr>
                <w:rStyle w:val="Strong"/>
                <w:rFonts w:ascii="Arial" w:hAnsi="Arial" w:cs="Arial"/>
              </w:rPr>
              <w:t>Weight</w:t>
            </w:r>
          </w:p>
        </w:tc>
        <w:tc>
          <w:tcPr>
            <w:tcW w:w="1616" w:type="dxa"/>
            <w:shd w:val="clear" w:color="auto" w:fill="1F4E78"/>
            <w:tcMar>
              <w:top w:w="80" w:type="dxa"/>
              <w:left w:w="100" w:type="dxa"/>
              <w:bottom w:w="80" w:type="dxa"/>
              <w:right w:w="100" w:type="dxa"/>
            </w:tcMar>
            <w:vAlign w:val="center"/>
          </w:tcPr>
          <w:p w14:paraId="153329D5" w14:textId="5CAFE366" w:rsidR="00D93BEA" w:rsidRDefault="00D93BEA" w:rsidP="00D93BEA">
            <w:pPr>
              <w:jc w:val="center"/>
            </w:pPr>
            <w:r>
              <w:rPr>
                <w:rStyle w:val="Strong"/>
                <w:rFonts w:ascii="Arial" w:hAnsi="Arial" w:cs="Arial"/>
              </w:rPr>
              <w:t>Benchmark</w:t>
            </w:r>
          </w:p>
        </w:tc>
        <w:tc>
          <w:tcPr>
            <w:tcW w:w="1616" w:type="dxa"/>
            <w:shd w:val="clear" w:color="auto" w:fill="1F4E78"/>
            <w:tcMar>
              <w:top w:w="80" w:type="dxa"/>
              <w:left w:w="100" w:type="dxa"/>
              <w:bottom w:w="80" w:type="dxa"/>
              <w:right w:w="100" w:type="dxa"/>
            </w:tcMar>
          </w:tcPr>
          <w:p w14:paraId="66D89AEE" w14:textId="77777777" w:rsidR="00D93BEA" w:rsidRDefault="00D93BEA" w:rsidP="00D93BEA">
            <w:pPr>
              <w:jc w:val="center"/>
            </w:pPr>
            <w:r>
              <w:rPr>
                <w:b/>
                <w:bCs/>
                <w:color w:val="FFFFFF"/>
                <w:sz w:val="19"/>
                <w:szCs w:val="19"/>
              </w:rPr>
              <w:t>Achieved</w:t>
            </w:r>
          </w:p>
        </w:tc>
        <w:tc>
          <w:tcPr>
            <w:tcW w:w="1313" w:type="dxa"/>
            <w:shd w:val="clear" w:color="auto" w:fill="1F4E78"/>
            <w:tcMar>
              <w:top w:w="80" w:type="dxa"/>
              <w:left w:w="100" w:type="dxa"/>
              <w:bottom w:w="80" w:type="dxa"/>
              <w:right w:w="100" w:type="dxa"/>
            </w:tcMar>
          </w:tcPr>
          <w:p w14:paraId="1EBC9267" w14:textId="77777777" w:rsidR="00D93BEA" w:rsidRDefault="00D93BEA" w:rsidP="00D93BEA">
            <w:pPr>
              <w:jc w:val="center"/>
            </w:pPr>
            <w:proofErr w:type="spellStart"/>
            <w:r>
              <w:rPr>
                <w:b/>
                <w:bCs/>
                <w:color w:val="FFFFFF"/>
                <w:sz w:val="19"/>
                <w:szCs w:val="19"/>
              </w:rPr>
              <w:t>Achv</w:t>
            </w:r>
            <w:proofErr w:type="spellEnd"/>
            <w:r>
              <w:rPr>
                <w:b/>
                <w:bCs/>
                <w:color w:val="FFFFFF"/>
                <w:sz w:val="19"/>
                <w:szCs w:val="19"/>
              </w:rPr>
              <w:t xml:space="preserve"> %</w:t>
            </w:r>
          </w:p>
        </w:tc>
        <w:tc>
          <w:tcPr>
            <w:tcW w:w="1212" w:type="dxa"/>
            <w:shd w:val="clear" w:color="auto" w:fill="1F4E78"/>
            <w:tcMar>
              <w:top w:w="80" w:type="dxa"/>
              <w:left w:w="100" w:type="dxa"/>
              <w:bottom w:w="80" w:type="dxa"/>
              <w:right w:w="100" w:type="dxa"/>
            </w:tcMar>
          </w:tcPr>
          <w:p w14:paraId="43492926" w14:textId="77777777" w:rsidR="00D93BEA" w:rsidRDefault="00D93BEA" w:rsidP="00D93BEA">
            <w:pPr>
              <w:jc w:val="center"/>
            </w:pPr>
            <w:r>
              <w:rPr>
                <w:b/>
                <w:bCs/>
                <w:color w:val="FFFFFF"/>
                <w:sz w:val="19"/>
                <w:szCs w:val="19"/>
              </w:rPr>
              <w:t>Score</w:t>
            </w:r>
          </w:p>
        </w:tc>
      </w:tr>
      <w:tr w:rsidR="00D93BEA" w14:paraId="11300877" w14:textId="77777777" w:rsidTr="00D93BEA">
        <w:tblPrEx>
          <w:tblCellMar>
            <w:top w:w="0" w:type="dxa"/>
            <w:bottom w:w="0" w:type="dxa"/>
          </w:tblCellMar>
        </w:tblPrEx>
        <w:tc>
          <w:tcPr>
            <w:tcW w:w="506" w:type="dxa"/>
            <w:tcMar>
              <w:top w:w="80" w:type="dxa"/>
              <w:left w:w="100" w:type="dxa"/>
              <w:bottom w:w="80" w:type="dxa"/>
              <w:right w:w="100" w:type="dxa"/>
            </w:tcMar>
            <w:vAlign w:val="center"/>
          </w:tcPr>
          <w:p w14:paraId="1E882F25" w14:textId="21823C94" w:rsidR="00D93BEA" w:rsidRDefault="00D93BEA" w:rsidP="00D93BEA">
            <w:pPr>
              <w:jc w:val="center"/>
            </w:pPr>
            <w:r>
              <w:rPr>
                <w:rFonts w:ascii="Arial" w:hAnsi="Arial" w:cs="Arial"/>
                <w:b/>
                <w:bCs/>
              </w:rPr>
              <w:t>1</w:t>
            </w:r>
          </w:p>
        </w:tc>
        <w:tc>
          <w:tcPr>
            <w:tcW w:w="2828" w:type="dxa"/>
            <w:tcMar>
              <w:top w:w="80" w:type="dxa"/>
              <w:left w:w="100" w:type="dxa"/>
              <w:bottom w:w="80" w:type="dxa"/>
              <w:right w:w="100" w:type="dxa"/>
            </w:tcMar>
            <w:vAlign w:val="center"/>
          </w:tcPr>
          <w:p w14:paraId="698559EF" w14:textId="5F8F3FDB" w:rsidR="00D93BEA" w:rsidRDefault="00D93BEA" w:rsidP="00D93BEA">
            <w:r>
              <w:rPr>
                <w:rFonts w:ascii="Arial" w:hAnsi="Arial" w:cs="Arial"/>
              </w:rPr>
              <w:t>Generation &amp; Inventory</w:t>
            </w:r>
          </w:p>
        </w:tc>
        <w:tc>
          <w:tcPr>
            <w:tcW w:w="909" w:type="dxa"/>
            <w:tcMar>
              <w:top w:w="80" w:type="dxa"/>
              <w:left w:w="100" w:type="dxa"/>
              <w:bottom w:w="80" w:type="dxa"/>
              <w:right w:w="100" w:type="dxa"/>
            </w:tcMar>
            <w:vAlign w:val="center"/>
          </w:tcPr>
          <w:p w14:paraId="3BD80835" w14:textId="0D94BF45" w:rsidR="00D93BEA" w:rsidRDefault="00D93BEA" w:rsidP="00D93BEA">
            <w:pPr>
              <w:jc w:val="center"/>
            </w:pPr>
            <w:r>
              <w:rPr>
                <w:rFonts w:ascii="Arial" w:hAnsi="Arial" w:cs="Arial"/>
              </w:rPr>
              <w:t>15</w:t>
            </w:r>
          </w:p>
        </w:tc>
        <w:tc>
          <w:tcPr>
            <w:tcW w:w="1616" w:type="dxa"/>
            <w:tcMar>
              <w:top w:w="80" w:type="dxa"/>
              <w:left w:w="100" w:type="dxa"/>
              <w:bottom w:w="80" w:type="dxa"/>
              <w:right w:w="100" w:type="dxa"/>
            </w:tcMar>
            <w:vAlign w:val="center"/>
          </w:tcPr>
          <w:p w14:paraId="69BF9FAF" w14:textId="5C94FEF7" w:rsidR="00D93BEA" w:rsidRDefault="00D93BEA" w:rsidP="00D93BEA">
            <w:pPr>
              <w:jc w:val="center"/>
            </w:pPr>
            <w:r>
              <w:rPr>
                <w:rFonts w:ascii="Arial" w:hAnsi="Arial" w:cs="Arial"/>
              </w:rPr>
              <w:t>31 districts</w:t>
            </w:r>
          </w:p>
        </w:tc>
        <w:tc>
          <w:tcPr>
            <w:tcW w:w="1616" w:type="dxa"/>
            <w:tcMar>
              <w:top w:w="80" w:type="dxa"/>
              <w:left w:w="100" w:type="dxa"/>
              <w:bottom w:w="80" w:type="dxa"/>
              <w:right w:w="100" w:type="dxa"/>
            </w:tcMar>
          </w:tcPr>
          <w:p w14:paraId="775DF2E2" w14:textId="77777777" w:rsidR="00D93BEA" w:rsidRDefault="00D93BEA" w:rsidP="00D93BEA">
            <w:pPr>
              <w:jc w:val="center"/>
            </w:pPr>
            <w:r>
              <w:rPr>
                <w:sz w:val="19"/>
                <w:szCs w:val="19"/>
              </w:rPr>
              <w:t>23 districts</w:t>
            </w:r>
          </w:p>
        </w:tc>
        <w:tc>
          <w:tcPr>
            <w:tcW w:w="1313" w:type="dxa"/>
            <w:tcMar>
              <w:top w:w="80" w:type="dxa"/>
              <w:left w:w="100" w:type="dxa"/>
              <w:bottom w:w="80" w:type="dxa"/>
              <w:right w:w="100" w:type="dxa"/>
            </w:tcMar>
          </w:tcPr>
          <w:p w14:paraId="6A3BC109" w14:textId="77777777" w:rsidR="00D93BEA" w:rsidRDefault="00D93BEA" w:rsidP="00D93BEA">
            <w:pPr>
              <w:jc w:val="center"/>
            </w:pPr>
            <w:r>
              <w:rPr>
                <w:sz w:val="19"/>
                <w:szCs w:val="19"/>
              </w:rPr>
              <w:t>100.0%</w:t>
            </w:r>
          </w:p>
        </w:tc>
        <w:tc>
          <w:tcPr>
            <w:tcW w:w="1212" w:type="dxa"/>
            <w:tcMar>
              <w:top w:w="80" w:type="dxa"/>
              <w:left w:w="100" w:type="dxa"/>
              <w:bottom w:w="80" w:type="dxa"/>
              <w:right w:w="100" w:type="dxa"/>
            </w:tcMar>
          </w:tcPr>
          <w:p w14:paraId="116956B5" w14:textId="77777777" w:rsidR="00D93BEA" w:rsidRDefault="00D93BEA" w:rsidP="00D93BEA">
            <w:pPr>
              <w:jc w:val="center"/>
            </w:pPr>
            <w:r>
              <w:rPr>
                <w:sz w:val="19"/>
                <w:szCs w:val="19"/>
              </w:rPr>
              <w:t>15.0</w:t>
            </w:r>
          </w:p>
        </w:tc>
      </w:tr>
      <w:tr w:rsidR="00D93BEA" w14:paraId="527E338D" w14:textId="77777777" w:rsidTr="00D93BEA">
        <w:tblPrEx>
          <w:tblCellMar>
            <w:top w:w="0" w:type="dxa"/>
            <w:bottom w:w="0" w:type="dxa"/>
          </w:tblCellMar>
        </w:tblPrEx>
        <w:tc>
          <w:tcPr>
            <w:tcW w:w="506" w:type="dxa"/>
            <w:shd w:val="clear" w:color="auto" w:fill="F2F2F2"/>
            <w:tcMar>
              <w:top w:w="80" w:type="dxa"/>
              <w:left w:w="100" w:type="dxa"/>
              <w:bottom w:w="80" w:type="dxa"/>
              <w:right w:w="100" w:type="dxa"/>
            </w:tcMar>
            <w:vAlign w:val="center"/>
          </w:tcPr>
          <w:p w14:paraId="7AC1853C" w14:textId="16F0F9CF" w:rsidR="00D93BEA" w:rsidRDefault="00D93BEA" w:rsidP="00D93BEA">
            <w:pPr>
              <w:jc w:val="center"/>
            </w:pPr>
            <w:r>
              <w:rPr>
                <w:rFonts w:ascii="Arial" w:hAnsi="Arial" w:cs="Arial"/>
                <w:b/>
                <w:bCs/>
              </w:rPr>
              <w:t>2</w:t>
            </w:r>
          </w:p>
        </w:tc>
        <w:tc>
          <w:tcPr>
            <w:tcW w:w="2828" w:type="dxa"/>
            <w:shd w:val="clear" w:color="auto" w:fill="F2F2F2"/>
            <w:tcMar>
              <w:top w:w="80" w:type="dxa"/>
              <w:left w:w="100" w:type="dxa"/>
              <w:bottom w:w="80" w:type="dxa"/>
              <w:right w:w="100" w:type="dxa"/>
            </w:tcMar>
            <w:vAlign w:val="center"/>
          </w:tcPr>
          <w:p w14:paraId="6D213DFD" w14:textId="28168665" w:rsidR="00D93BEA" w:rsidRDefault="00D93BEA" w:rsidP="00D93BEA">
            <w:r>
              <w:rPr>
                <w:rFonts w:ascii="Arial" w:hAnsi="Arial" w:cs="Arial"/>
              </w:rPr>
              <w:t>Collection Performance</w:t>
            </w:r>
          </w:p>
        </w:tc>
        <w:tc>
          <w:tcPr>
            <w:tcW w:w="909" w:type="dxa"/>
            <w:shd w:val="clear" w:color="auto" w:fill="F2F2F2"/>
            <w:tcMar>
              <w:top w:w="80" w:type="dxa"/>
              <w:left w:w="100" w:type="dxa"/>
              <w:bottom w:w="80" w:type="dxa"/>
              <w:right w:w="100" w:type="dxa"/>
            </w:tcMar>
            <w:vAlign w:val="center"/>
          </w:tcPr>
          <w:p w14:paraId="2F540208" w14:textId="2C8840AA" w:rsidR="00D93BEA" w:rsidRDefault="00D93BEA" w:rsidP="00D93BEA">
            <w:pPr>
              <w:jc w:val="center"/>
            </w:pPr>
            <w:r>
              <w:rPr>
                <w:rFonts w:ascii="Arial" w:hAnsi="Arial" w:cs="Arial"/>
              </w:rPr>
              <w:t>20</w:t>
            </w:r>
          </w:p>
        </w:tc>
        <w:tc>
          <w:tcPr>
            <w:tcW w:w="1616" w:type="dxa"/>
            <w:shd w:val="clear" w:color="auto" w:fill="F2F2F2"/>
            <w:tcMar>
              <w:top w:w="80" w:type="dxa"/>
              <w:left w:w="100" w:type="dxa"/>
              <w:bottom w:w="80" w:type="dxa"/>
              <w:right w:w="100" w:type="dxa"/>
            </w:tcMar>
            <w:vAlign w:val="center"/>
          </w:tcPr>
          <w:p w14:paraId="44DEAEC5" w14:textId="71F352ED" w:rsidR="00D93BEA" w:rsidRDefault="00D93BEA" w:rsidP="00D93BEA">
            <w:pPr>
              <w:jc w:val="center"/>
            </w:pPr>
            <w:r>
              <w:rPr>
                <w:rFonts w:ascii="Arial" w:hAnsi="Arial" w:cs="Arial"/>
              </w:rPr>
              <w:t>100%</w:t>
            </w:r>
          </w:p>
        </w:tc>
        <w:tc>
          <w:tcPr>
            <w:tcW w:w="1616" w:type="dxa"/>
            <w:shd w:val="clear" w:color="auto" w:fill="F2F2F2"/>
            <w:tcMar>
              <w:top w:w="80" w:type="dxa"/>
              <w:left w:w="100" w:type="dxa"/>
              <w:bottom w:w="80" w:type="dxa"/>
              <w:right w:w="100" w:type="dxa"/>
            </w:tcMar>
          </w:tcPr>
          <w:p w14:paraId="2DE38872" w14:textId="77777777" w:rsidR="00D93BEA" w:rsidRDefault="00D93BEA" w:rsidP="00D93BEA">
            <w:pPr>
              <w:jc w:val="center"/>
            </w:pPr>
            <w:r>
              <w:rPr>
                <w:sz w:val="19"/>
                <w:szCs w:val="19"/>
              </w:rPr>
              <w:t>57.3%</w:t>
            </w:r>
          </w:p>
        </w:tc>
        <w:tc>
          <w:tcPr>
            <w:tcW w:w="1313" w:type="dxa"/>
            <w:shd w:val="clear" w:color="auto" w:fill="F2F2F2"/>
            <w:tcMar>
              <w:top w:w="80" w:type="dxa"/>
              <w:left w:w="100" w:type="dxa"/>
              <w:bottom w:w="80" w:type="dxa"/>
              <w:right w:w="100" w:type="dxa"/>
            </w:tcMar>
          </w:tcPr>
          <w:p w14:paraId="0CF63ED4" w14:textId="77777777" w:rsidR="00D93BEA" w:rsidRDefault="00D93BEA" w:rsidP="00D93BEA">
            <w:pPr>
              <w:jc w:val="center"/>
            </w:pPr>
            <w:r>
              <w:rPr>
                <w:sz w:val="19"/>
                <w:szCs w:val="19"/>
              </w:rPr>
              <w:t>57.3%</w:t>
            </w:r>
          </w:p>
        </w:tc>
        <w:tc>
          <w:tcPr>
            <w:tcW w:w="1212" w:type="dxa"/>
            <w:shd w:val="clear" w:color="auto" w:fill="F2F2F2"/>
            <w:tcMar>
              <w:top w:w="80" w:type="dxa"/>
              <w:left w:w="100" w:type="dxa"/>
              <w:bottom w:w="80" w:type="dxa"/>
              <w:right w:w="100" w:type="dxa"/>
            </w:tcMar>
          </w:tcPr>
          <w:p w14:paraId="5DD51472" w14:textId="34EADBF4" w:rsidR="00D93BEA" w:rsidRDefault="00D93BEA" w:rsidP="00D93BEA">
            <w:pPr>
              <w:jc w:val="center"/>
            </w:pPr>
            <w:r>
              <w:rPr>
                <w:sz w:val="19"/>
                <w:szCs w:val="19"/>
              </w:rPr>
              <w:t>12.5</w:t>
            </w:r>
          </w:p>
        </w:tc>
      </w:tr>
      <w:tr w:rsidR="00D93BEA" w14:paraId="3F7F07A3" w14:textId="77777777" w:rsidTr="00D93BEA">
        <w:tblPrEx>
          <w:tblCellMar>
            <w:top w:w="0" w:type="dxa"/>
            <w:bottom w:w="0" w:type="dxa"/>
          </w:tblCellMar>
        </w:tblPrEx>
        <w:tc>
          <w:tcPr>
            <w:tcW w:w="506" w:type="dxa"/>
            <w:tcMar>
              <w:top w:w="80" w:type="dxa"/>
              <w:left w:w="100" w:type="dxa"/>
              <w:bottom w:w="80" w:type="dxa"/>
              <w:right w:w="100" w:type="dxa"/>
            </w:tcMar>
            <w:vAlign w:val="center"/>
          </w:tcPr>
          <w:p w14:paraId="4E8C95C4" w14:textId="750EB4E0" w:rsidR="00D93BEA" w:rsidRDefault="00D93BEA" w:rsidP="00D93BEA">
            <w:pPr>
              <w:jc w:val="center"/>
            </w:pPr>
            <w:r>
              <w:rPr>
                <w:rFonts w:ascii="Arial" w:hAnsi="Arial" w:cs="Arial"/>
                <w:b/>
                <w:bCs/>
              </w:rPr>
              <w:t>3</w:t>
            </w:r>
          </w:p>
        </w:tc>
        <w:tc>
          <w:tcPr>
            <w:tcW w:w="2828" w:type="dxa"/>
            <w:tcMar>
              <w:top w:w="80" w:type="dxa"/>
              <w:left w:w="100" w:type="dxa"/>
              <w:bottom w:w="80" w:type="dxa"/>
              <w:right w:w="100" w:type="dxa"/>
            </w:tcMar>
            <w:vAlign w:val="center"/>
          </w:tcPr>
          <w:p w14:paraId="025A6F7A" w14:textId="7114C257" w:rsidR="00D93BEA" w:rsidRDefault="00D93BEA" w:rsidP="00D93BEA">
            <w:r>
              <w:rPr>
                <w:rFonts w:ascii="Arial" w:hAnsi="Arial" w:cs="Arial"/>
              </w:rPr>
              <w:t>Formal Recycling &amp; Treatment</w:t>
            </w:r>
          </w:p>
        </w:tc>
        <w:tc>
          <w:tcPr>
            <w:tcW w:w="909" w:type="dxa"/>
            <w:tcMar>
              <w:top w:w="80" w:type="dxa"/>
              <w:left w:w="100" w:type="dxa"/>
              <w:bottom w:w="80" w:type="dxa"/>
              <w:right w:w="100" w:type="dxa"/>
            </w:tcMar>
            <w:vAlign w:val="center"/>
          </w:tcPr>
          <w:p w14:paraId="627344AE" w14:textId="27F9B680" w:rsidR="00D93BEA" w:rsidRDefault="00D93BEA" w:rsidP="00D93BEA">
            <w:pPr>
              <w:jc w:val="center"/>
            </w:pPr>
            <w:r>
              <w:rPr>
                <w:rFonts w:ascii="Arial" w:hAnsi="Arial" w:cs="Arial"/>
              </w:rPr>
              <w:t>20</w:t>
            </w:r>
          </w:p>
        </w:tc>
        <w:tc>
          <w:tcPr>
            <w:tcW w:w="1616" w:type="dxa"/>
            <w:tcMar>
              <w:top w:w="80" w:type="dxa"/>
              <w:left w:w="100" w:type="dxa"/>
              <w:bottom w:w="80" w:type="dxa"/>
              <w:right w:w="100" w:type="dxa"/>
            </w:tcMar>
            <w:vAlign w:val="center"/>
          </w:tcPr>
          <w:p w14:paraId="7B1EAB3D" w14:textId="3F354AF5" w:rsidR="00D93BEA" w:rsidRDefault="00D93BEA" w:rsidP="00D93BEA">
            <w:pPr>
              <w:jc w:val="center"/>
            </w:pPr>
            <w:r>
              <w:rPr>
                <w:rFonts w:ascii="Arial" w:hAnsi="Arial" w:cs="Arial"/>
              </w:rPr>
              <w:t>100%</w:t>
            </w:r>
          </w:p>
        </w:tc>
        <w:tc>
          <w:tcPr>
            <w:tcW w:w="1616" w:type="dxa"/>
            <w:tcMar>
              <w:top w:w="80" w:type="dxa"/>
              <w:left w:w="100" w:type="dxa"/>
              <w:bottom w:w="80" w:type="dxa"/>
              <w:right w:w="100" w:type="dxa"/>
            </w:tcMar>
          </w:tcPr>
          <w:p w14:paraId="629C46CF" w14:textId="77777777" w:rsidR="00D93BEA" w:rsidRDefault="00D93BEA" w:rsidP="00D93BEA">
            <w:pPr>
              <w:jc w:val="center"/>
            </w:pPr>
            <w:r>
              <w:rPr>
                <w:sz w:val="19"/>
                <w:szCs w:val="19"/>
              </w:rPr>
              <w:t>11.8%</w:t>
            </w:r>
          </w:p>
        </w:tc>
        <w:tc>
          <w:tcPr>
            <w:tcW w:w="1313" w:type="dxa"/>
            <w:tcMar>
              <w:top w:w="80" w:type="dxa"/>
              <w:left w:w="100" w:type="dxa"/>
              <w:bottom w:w="80" w:type="dxa"/>
              <w:right w:w="100" w:type="dxa"/>
            </w:tcMar>
          </w:tcPr>
          <w:p w14:paraId="20555296" w14:textId="77777777" w:rsidR="00D93BEA" w:rsidRDefault="00D93BEA" w:rsidP="00D93BEA">
            <w:pPr>
              <w:jc w:val="center"/>
            </w:pPr>
            <w:r>
              <w:rPr>
                <w:sz w:val="19"/>
                <w:szCs w:val="19"/>
              </w:rPr>
              <w:t>11.8%</w:t>
            </w:r>
          </w:p>
        </w:tc>
        <w:tc>
          <w:tcPr>
            <w:tcW w:w="1212" w:type="dxa"/>
            <w:tcMar>
              <w:top w:w="80" w:type="dxa"/>
              <w:left w:w="100" w:type="dxa"/>
              <w:bottom w:w="80" w:type="dxa"/>
              <w:right w:w="100" w:type="dxa"/>
            </w:tcMar>
          </w:tcPr>
          <w:p w14:paraId="044E00BD" w14:textId="25068AD3" w:rsidR="00D93BEA" w:rsidRDefault="00D93BEA" w:rsidP="00D93BEA">
            <w:pPr>
              <w:jc w:val="center"/>
            </w:pPr>
            <w:r>
              <w:rPr>
                <w:sz w:val="19"/>
                <w:szCs w:val="19"/>
              </w:rPr>
              <w:t>3.4</w:t>
            </w:r>
          </w:p>
        </w:tc>
      </w:tr>
      <w:tr w:rsidR="00D93BEA" w14:paraId="50881C64" w14:textId="77777777" w:rsidTr="00D93BEA">
        <w:tblPrEx>
          <w:tblCellMar>
            <w:top w:w="0" w:type="dxa"/>
            <w:bottom w:w="0" w:type="dxa"/>
          </w:tblCellMar>
        </w:tblPrEx>
        <w:tc>
          <w:tcPr>
            <w:tcW w:w="506" w:type="dxa"/>
            <w:shd w:val="clear" w:color="auto" w:fill="F2F2F2"/>
            <w:tcMar>
              <w:top w:w="80" w:type="dxa"/>
              <w:left w:w="100" w:type="dxa"/>
              <w:bottom w:w="80" w:type="dxa"/>
              <w:right w:w="100" w:type="dxa"/>
            </w:tcMar>
            <w:vAlign w:val="center"/>
          </w:tcPr>
          <w:p w14:paraId="0754BBCE" w14:textId="083DE0AB" w:rsidR="00D93BEA" w:rsidRDefault="00D93BEA" w:rsidP="00D93BEA">
            <w:pPr>
              <w:jc w:val="center"/>
            </w:pPr>
            <w:r>
              <w:rPr>
                <w:rFonts w:ascii="Arial" w:hAnsi="Arial" w:cs="Arial"/>
                <w:b/>
                <w:bCs/>
              </w:rPr>
              <w:t>4</w:t>
            </w:r>
          </w:p>
        </w:tc>
        <w:tc>
          <w:tcPr>
            <w:tcW w:w="2828" w:type="dxa"/>
            <w:shd w:val="clear" w:color="auto" w:fill="F2F2F2"/>
            <w:tcMar>
              <w:top w:w="80" w:type="dxa"/>
              <w:left w:w="100" w:type="dxa"/>
              <w:bottom w:w="80" w:type="dxa"/>
              <w:right w:w="100" w:type="dxa"/>
            </w:tcMar>
            <w:vAlign w:val="center"/>
          </w:tcPr>
          <w:p w14:paraId="58B57B2B" w14:textId="6E59D1A2" w:rsidR="00D93BEA" w:rsidRDefault="00D93BEA" w:rsidP="00D93BEA">
            <w:r>
              <w:rPr>
                <w:rFonts w:ascii="Arial" w:hAnsi="Arial" w:cs="Arial"/>
              </w:rPr>
              <w:t>Regulatory Compliance</w:t>
            </w:r>
          </w:p>
        </w:tc>
        <w:tc>
          <w:tcPr>
            <w:tcW w:w="909" w:type="dxa"/>
            <w:shd w:val="clear" w:color="auto" w:fill="F2F2F2"/>
            <w:tcMar>
              <w:top w:w="80" w:type="dxa"/>
              <w:left w:w="100" w:type="dxa"/>
              <w:bottom w:w="80" w:type="dxa"/>
              <w:right w:w="100" w:type="dxa"/>
            </w:tcMar>
            <w:vAlign w:val="center"/>
          </w:tcPr>
          <w:p w14:paraId="4542F657" w14:textId="5FBFB3D1" w:rsidR="00D93BEA" w:rsidRDefault="00D93BEA" w:rsidP="00D93BEA">
            <w:pPr>
              <w:jc w:val="center"/>
            </w:pPr>
            <w:r>
              <w:rPr>
                <w:rFonts w:ascii="Arial" w:hAnsi="Arial" w:cs="Arial"/>
              </w:rPr>
              <w:t>15</w:t>
            </w:r>
          </w:p>
        </w:tc>
        <w:tc>
          <w:tcPr>
            <w:tcW w:w="1616" w:type="dxa"/>
            <w:shd w:val="clear" w:color="auto" w:fill="F2F2F2"/>
            <w:tcMar>
              <w:top w:w="80" w:type="dxa"/>
              <w:left w:w="100" w:type="dxa"/>
              <w:bottom w:w="80" w:type="dxa"/>
              <w:right w:w="100" w:type="dxa"/>
            </w:tcMar>
            <w:vAlign w:val="center"/>
          </w:tcPr>
          <w:p w14:paraId="34F139A7" w14:textId="4F63FFC6" w:rsidR="00D93BEA" w:rsidRDefault="00D93BEA" w:rsidP="00D93BEA">
            <w:pPr>
              <w:jc w:val="center"/>
            </w:pPr>
            <w:r>
              <w:rPr>
                <w:rFonts w:ascii="Arial" w:hAnsi="Arial" w:cs="Arial"/>
              </w:rPr>
              <w:t>100%</w:t>
            </w:r>
          </w:p>
        </w:tc>
        <w:tc>
          <w:tcPr>
            <w:tcW w:w="1616" w:type="dxa"/>
            <w:shd w:val="clear" w:color="auto" w:fill="F2F2F2"/>
            <w:tcMar>
              <w:top w:w="80" w:type="dxa"/>
              <w:left w:w="100" w:type="dxa"/>
              <w:bottom w:w="80" w:type="dxa"/>
              <w:right w:w="100" w:type="dxa"/>
            </w:tcMar>
          </w:tcPr>
          <w:p w14:paraId="253D918A" w14:textId="77777777" w:rsidR="00D93BEA" w:rsidRDefault="00D93BEA" w:rsidP="00D93BEA">
            <w:pPr>
              <w:jc w:val="center"/>
            </w:pPr>
            <w:r>
              <w:rPr>
                <w:sz w:val="19"/>
                <w:szCs w:val="19"/>
              </w:rPr>
              <w:t>66.7%</w:t>
            </w:r>
          </w:p>
        </w:tc>
        <w:tc>
          <w:tcPr>
            <w:tcW w:w="1313" w:type="dxa"/>
            <w:shd w:val="clear" w:color="auto" w:fill="F2F2F2"/>
            <w:tcMar>
              <w:top w:w="80" w:type="dxa"/>
              <w:left w:w="100" w:type="dxa"/>
              <w:bottom w:w="80" w:type="dxa"/>
              <w:right w:w="100" w:type="dxa"/>
            </w:tcMar>
          </w:tcPr>
          <w:p w14:paraId="460514C1" w14:textId="77777777" w:rsidR="00D93BEA" w:rsidRDefault="00D93BEA" w:rsidP="00D93BEA">
            <w:pPr>
              <w:jc w:val="center"/>
            </w:pPr>
            <w:r>
              <w:rPr>
                <w:sz w:val="19"/>
                <w:szCs w:val="19"/>
              </w:rPr>
              <w:t>66.7%</w:t>
            </w:r>
          </w:p>
        </w:tc>
        <w:tc>
          <w:tcPr>
            <w:tcW w:w="1212" w:type="dxa"/>
            <w:shd w:val="clear" w:color="auto" w:fill="F2F2F2"/>
            <w:tcMar>
              <w:top w:w="80" w:type="dxa"/>
              <w:left w:w="100" w:type="dxa"/>
              <w:bottom w:w="80" w:type="dxa"/>
              <w:right w:w="100" w:type="dxa"/>
            </w:tcMar>
          </w:tcPr>
          <w:p w14:paraId="4BF9FDBD" w14:textId="6F133157" w:rsidR="00D93BEA" w:rsidRDefault="00D93BEA" w:rsidP="00D93BEA">
            <w:pPr>
              <w:jc w:val="center"/>
            </w:pPr>
            <w:r>
              <w:rPr>
                <w:sz w:val="19"/>
                <w:szCs w:val="19"/>
              </w:rPr>
              <w:t>11.0</w:t>
            </w:r>
          </w:p>
        </w:tc>
      </w:tr>
      <w:tr w:rsidR="00D93BEA" w14:paraId="7D3692F9" w14:textId="77777777" w:rsidTr="00D93BEA">
        <w:tblPrEx>
          <w:tblCellMar>
            <w:top w:w="0" w:type="dxa"/>
            <w:bottom w:w="0" w:type="dxa"/>
          </w:tblCellMar>
        </w:tblPrEx>
        <w:tc>
          <w:tcPr>
            <w:tcW w:w="506" w:type="dxa"/>
            <w:tcMar>
              <w:top w:w="80" w:type="dxa"/>
              <w:left w:w="100" w:type="dxa"/>
              <w:bottom w:w="80" w:type="dxa"/>
              <w:right w:w="100" w:type="dxa"/>
            </w:tcMar>
            <w:vAlign w:val="center"/>
          </w:tcPr>
          <w:p w14:paraId="10B61547" w14:textId="32888618" w:rsidR="00D93BEA" w:rsidRDefault="00D93BEA" w:rsidP="00D93BEA">
            <w:pPr>
              <w:jc w:val="center"/>
            </w:pPr>
            <w:r>
              <w:rPr>
                <w:rFonts w:ascii="Arial" w:hAnsi="Arial" w:cs="Arial"/>
                <w:b/>
                <w:bCs/>
              </w:rPr>
              <w:t>5</w:t>
            </w:r>
          </w:p>
        </w:tc>
        <w:tc>
          <w:tcPr>
            <w:tcW w:w="2828" w:type="dxa"/>
            <w:tcMar>
              <w:top w:w="80" w:type="dxa"/>
              <w:left w:w="100" w:type="dxa"/>
              <w:bottom w:w="80" w:type="dxa"/>
              <w:right w:w="100" w:type="dxa"/>
            </w:tcMar>
            <w:vAlign w:val="center"/>
          </w:tcPr>
          <w:p w14:paraId="345AFC51" w14:textId="515254B3" w:rsidR="00D93BEA" w:rsidRDefault="00D93BEA" w:rsidP="00D93BEA">
            <w:r>
              <w:rPr>
                <w:rFonts w:ascii="Arial" w:hAnsi="Arial" w:cs="Arial"/>
              </w:rPr>
              <w:t>Informal Sector Integration</w:t>
            </w:r>
          </w:p>
        </w:tc>
        <w:tc>
          <w:tcPr>
            <w:tcW w:w="909" w:type="dxa"/>
            <w:tcMar>
              <w:top w:w="80" w:type="dxa"/>
              <w:left w:w="100" w:type="dxa"/>
              <w:bottom w:w="80" w:type="dxa"/>
              <w:right w:w="100" w:type="dxa"/>
            </w:tcMar>
            <w:vAlign w:val="center"/>
          </w:tcPr>
          <w:p w14:paraId="218E79C2" w14:textId="2CA48558" w:rsidR="00D93BEA" w:rsidRDefault="00D93BEA" w:rsidP="00D93BEA">
            <w:pPr>
              <w:jc w:val="center"/>
            </w:pPr>
            <w:r>
              <w:rPr>
                <w:rFonts w:ascii="Arial" w:hAnsi="Arial" w:cs="Arial"/>
              </w:rPr>
              <w:t>10</w:t>
            </w:r>
          </w:p>
        </w:tc>
        <w:tc>
          <w:tcPr>
            <w:tcW w:w="1616" w:type="dxa"/>
            <w:tcMar>
              <w:top w:w="80" w:type="dxa"/>
              <w:left w:w="100" w:type="dxa"/>
              <w:bottom w:w="80" w:type="dxa"/>
              <w:right w:w="100" w:type="dxa"/>
            </w:tcMar>
            <w:vAlign w:val="center"/>
          </w:tcPr>
          <w:p w14:paraId="71E1C225" w14:textId="0D0183A5" w:rsidR="00D93BEA" w:rsidRDefault="00D93BEA" w:rsidP="00D93BEA">
            <w:pPr>
              <w:jc w:val="center"/>
            </w:pPr>
            <w:r>
              <w:rPr>
                <w:rFonts w:ascii="Arial" w:hAnsi="Arial" w:cs="Arial"/>
              </w:rPr>
              <w:t>100%</w:t>
            </w:r>
          </w:p>
        </w:tc>
        <w:tc>
          <w:tcPr>
            <w:tcW w:w="1616" w:type="dxa"/>
            <w:tcMar>
              <w:top w:w="80" w:type="dxa"/>
              <w:left w:w="100" w:type="dxa"/>
              <w:bottom w:w="80" w:type="dxa"/>
              <w:right w:w="100" w:type="dxa"/>
            </w:tcMar>
          </w:tcPr>
          <w:p w14:paraId="7CE1E7E5" w14:textId="77777777" w:rsidR="00D93BEA" w:rsidRDefault="00D93BEA" w:rsidP="00D93BEA">
            <w:pPr>
              <w:jc w:val="center"/>
            </w:pPr>
            <w:r>
              <w:rPr>
                <w:sz w:val="19"/>
                <w:szCs w:val="19"/>
              </w:rPr>
              <w:t>23.8%</w:t>
            </w:r>
          </w:p>
        </w:tc>
        <w:tc>
          <w:tcPr>
            <w:tcW w:w="1313" w:type="dxa"/>
            <w:tcMar>
              <w:top w:w="80" w:type="dxa"/>
              <w:left w:w="100" w:type="dxa"/>
              <w:bottom w:w="80" w:type="dxa"/>
              <w:right w:w="100" w:type="dxa"/>
            </w:tcMar>
          </w:tcPr>
          <w:p w14:paraId="018A301C" w14:textId="77777777" w:rsidR="00D93BEA" w:rsidRDefault="00D93BEA" w:rsidP="00D93BEA">
            <w:pPr>
              <w:jc w:val="center"/>
            </w:pPr>
            <w:r>
              <w:rPr>
                <w:sz w:val="19"/>
                <w:szCs w:val="19"/>
              </w:rPr>
              <w:t>23.8%</w:t>
            </w:r>
          </w:p>
        </w:tc>
        <w:tc>
          <w:tcPr>
            <w:tcW w:w="1212" w:type="dxa"/>
            <w:tcMar>
              <w:top w:w="80" w:type="dxa"/>
              <w:left w:w="100" w:type="dxa"/>
              <w:bottom w:w="80" w:type="dxa"/>
              <w:right w:w="100" w:type="dxa"/>
            </w:tcMar>
          </w:tcPr>
          <w:p w14:paraId="2D6455A6" w14:textId="77777777" w:rsidR="00D93BEA" w:rsidRDefault="00D93BEA" w:rsidP="00D93BEA">
            <w:pPr>
              <w:jc w:val="center"/>
            </w:pPr>
            <w:r>
              <w:rPr>
                <w:sz w:val="19"/>
                <w:szCs w:val="19"/>
              </w:rPr>
              <w:t>2.4</w:t>
            </w:r>
          </w:p>
        </w:tc>
      </w:tr>
      <w:tr w:rsidR="00D93BEA" w14:paraId="461E06A9" w14:textId="77777777" w:rsidTr="00D93BEA">
        <w:tblPrEx>
          <w:tblCellMar>
            <w:top w:w="0" w:type="dxa"/>
            <w:bottom w:w="0" w:type="dxa"/>
          </w:tblCellMar>
        </w:tblPrEx>
        <w:tc>
          <w:tcPr>
            <w:tcW w:w="506" w:type="dxa"/>
            <w:shd w:val="clear" w:color="auto" w:fill="F2F2F2"/>
            <w:tcMar>
              <w:top w:w="80" w:type="dxa"/>
              <w:left w:w="100" w:type="dxa"/>
              <w:bottom w:w="80" w:type="dxa"/>
              <w:right w:w="100" w:type="dxa"/>
            </w:tcMar>
            <w:vAlign w:val="center"/>
          </w:tcPr>
          <w:p w14:paraId="31B165B6" w14:textId="1814DFAC" w:rsidR="00D93BEA" w:rsidRDefault="00D93BEA" w:rsidP="00D93BEA">
            <w:pPr>
              <w:jc w:val="center"/>
            </w:pPr>
            <w:r>
              <w:rPr>
                <w:rFonts w:ascii="Arial" w:hAnsi="Arial" w:cs="Arial"/>
                <w:b/>
                <w:bCs/>
              </w:rPr>
              <w:t>6</w:t>
            </w:r>
          </w:p>
        </w:tc>
        <w:tc>
          <w:tcPr>
            <w:tcW w:w="2828" w:type="dxa"/>
            <w:shd w:val="clear" w:color="auto" w:fill="F2F2F2"/>
            <w:tcMar>
              <w:top w:w="80" w:type="dxa"/>
              <w:left w:w="100" w:type="dxa"/>
              <w:bottom w:w="80" w:type="dxa"/>
              <w:right w:w="100" w:type="dxa"/>
            </w:tcMar>
            <w:vAlign w:val="center"/>
          </w:tcPr>
          <w:p w14:paraId="7D97D41A" w14:textId="63CDF102" w:rsidR="00D93BEA" w:rsidRDefault="00D93BEA" w:rsidP="00D93BEA">
            <w:r>
              <w:rPr>
                <w:rFonts w:ascii="Arial" w:hAnsi="Arial" w:cs="Arial"/>
              </w:rPr>
              <w:t>Environmental &amp; Health Safeguards</w:t>
            </w:r>
          </w:p>
        </w:tc>
        <w:tc>
          <w:tcPr>
            <w:tcW w:w="909" w:type="dxa"/>
            <w:shd w:val="clear" w:color="auto" w:fill="F2F2F2"/>
            <w:tcMar>
              <w:top w:w="80" w:type="dxa"/>
              <w:left w:w="100" w:type="dxa"/>
              <w:bottom w:w="80" w:type="dxa"/>
              <w:right w:w="100" w:type="dxa"/>
            </w:tcMar>
            <w:vAlign w:val="center"/>
          </w:tcPr>
          <w:p w14:paraId="44B0D33E" w14:textId="199F8E2D" w:rsidR="00D93BEA" w:rsidRDefault="00D93BEA" w:rsidP="00D93BEA">
            <w:pPr>
              <w:jc w:val="center"/>
            </w:pPr>
            <w:r>
              <w:rPr>
                <w:rFonts w:ascii="Arial" w:hAnsi="Arial" w:cs="Arial"/>
              </w:rPr>
              <w:t>10</w:t>
            </w:r>
          </w:p>
        </w:tc>
        <w:tc>
          <w:tcPr>
            <w:tcW w:w="1616" w:type="dxa"/>
            <w:shd w:val="clear" w:color="auto" w:fill="F2F2F2"/>
            <w:tcMar>
              <w:top w:w="80" w:type="dxa"/>
              <w:left w:w="100" w:type="dxa"/>
              <w:bottom w:w="80" w:type="dxa"/>
              <w:right w:w="100" w:type="dxa"/>
            </w:tcMar>
            <w:vAlign w:val="center"/>
          </w:tcPr>
          <w:p w14:paraId="4EA4DDA5" w14:textId="341E4D49" w:rsidR="00D93BEA" w:rsidRDefault="00D93BEA" w:rsidP="00D93BEA">
            <w:pPr>
              <w:jc w:val="center"/>
            </w:pPr>
            <w:r>
              <w:rPr>
                <w:rFonts w:ascii="Arial" w:hAnsi="Arial" w:cs="Arial"/>
              </w:rPr>
              <w:t>100%</w:t>
            </w:r>
          </w:p>
        </w:tc>
        <w:tc>
          <w:tcPr>
            <w:tcW w:w="1616" w:type="dxa"/>
            <w:shd w:val="clear" w:color="auto" w:fill="F2F2F2"/>
            <w:tcMar>
              <w:top w:w="80" w:type="dxa"/>
              <w:left w:w="100" w:type="dxa"/>
              <w:bottom w:w="80" w:type="dxa"/>
              <w:right w:w="100" w:type="dxa"/>
            </w:tcMar>
          </w:tcPr>
          <w:p w14:paraId="25D7E0E7" w14:textId="77777777" w:rsidR="00D93BEA" w:rsidRDefault="00D93BEA" w:rsidP="00D93BEA">
            <w:pPr>
              <w:jc w:val="center"/>
            </w:pPr>
            <w:r>
              <w:rPr>
                <w:sz w:val="19"/>
                <w:szCs w:val="19"/>
              </w:rPr>
              <w:t>62.5%</w:t>
            </w:r>
          </w:p>
        </w:tc>
        <w:tc>
          <w:tcPr>
            <w:tcW w:w="1313" w:type="dxa"/>
            <w:shd w:val="clear" w:color="auto" w:fill="F2F2F2"/>
            <w:tcMar>
              <w:top w:w="80" w:type="dxa"/>
              <w:left w:w="100" w:type="dxa"/>
              <w:bottom w:w="80" w:type="dxa"/>
              <w:right w:w="100" w:type="dxa"/>
            </w:tcMar>
          </w:tcPr>
          <w:p w14:paraId="65DBCF37" w14:textId="77777777" w:rsidR="00D93BEA" w:rsidRDefault="00D93BEA" w:rsidP="00D93BEA">
            <w:pPr>
              <w:jc w:val="center"/>
            </w:pPr>
            <w:r>
              <w:rPr>
                <w:sz w:val="19"/>
                <w:szCs w:val="19"/>
              </w:rPr>
              <w:t>62.5%</w:t>
            </w:r>
          </w:p>
        </w:tc>
        <w:tc>
          <w:tcPr>
            <w:tcW w:w="1212" w:type="dxa"/>
            <w:shd w:val="clear" w:color="auto" w:fill="F2F2F2"/>
            <w:tcMar>
              <w:top w:w="80" w:type="dxa"/>
              <w:left w:w="100" w:type="dxa"/>
              <w:bottom w:w="80" w:type="dxa"/>
              <w:right w:w="100" w:type="dxa"/>
            </w:tcMar>
          </w:tcPr>
          <w:p w14:paraId="3CA94DE4" w14:textId="77777777" w:rsidR="00D93BEA" w:rsidRDefault="00D93BEA" w:rsidP="00D93BEA">
            <w:pPr>
              <w:jc w:val="center"/>
            </w:pPr>
            <w:r>
              <w:rPr>
                <w:sz w:val="19"/>
                <w:szCs w:val="19"/>
              </w:rPr>
              <w:t>6.3</w:t>
            </w:r>
          </w:p>
        </w:tc>
      </w:tr>
      <w:tr w:rsidR="00D93BEA" w14:paraId="25EE4CB5" w14:textId="77777777" w:rsidTr="00D93BEA">
        <w:tblPrEx>
          <w:tblCellMar>
            <w:top w:w="0" w:type="dxa"/>
            <w:bottom w:w="0" w:type="dxa"/>
          </w:tblCellMar>
        </w:tblPrEx>
        <w:tc>
          <w:tcPr>
            <w:tcW w:w="506" w:type="dxa"/>
            <w:tcMar>
              <w:top w:w="80" w:type="dxa"/>
              <w:left w:w="100" w:type="dxa"/>
              <w:bottom w:w="80" w:type="dxa"/>
              <w:right w:w="100" w:type="dxa"/>
            </w:tcMar>
            <w:vAlign w:val="center"/>
          </w:tcPr>
          <w:p w14:paraId="08F24B47" w14:textId="36E8C2E8" w:rsidR="00D93BEA" w:rsidRDefault="00D93BEA" w:rsidP="00D93BEA">
            <w:pPr>
              <w:jc w:val="center"/>
            </w:pPr>
            <w:r>
              <w:rPr>
                <w:rFonts w:ascii="Arial" w:hAnsi="Arial" w:cs="Arial"/>
                <w:b/>
                <w:bCs/>
              </w:rPr>
              <w:t>7</w:t>
            </w:r>
          </w:p>
        </w:tc>
        <w:tc>
          <w:tcPr>
            <w:tcW w:w="2828" w:type="dxa"/>
            <w:tcMar>
              <w:top w:w="80" w:type="dxa"/>
              <w:left w:w="100" w:type="dxa"/>
              <w:bottom w:w="80" w:type="dxa"/>
              <w:right w:w="100" w:type="dxa"/>
            </w:tcMar>
            <w:vAlign w:val="center"/>
          </w:tcPr>
          <w:p w14:paraId="523E9A04" w14:textId="3E87320A" w:rsidR="00D93BEA" w:rsidRDefault="00D93BEA" w:rsidP="00D93BEA">
            <w:r>
              <w:rPr>
                <w:rFonts w:ascii="Arial" w:hAnsi="Arial" w:cs="Arial"/>
              </w:rPr>
              <w:t>Awareness &amp; Outreach</w:t>
            </w:r>
          </w:p>
        </w:tc>
        <w:tc>
          <w:tcPr>
            <w:tcW w:w="909" w:type="dxa"/>
            <w:tcMar>
              <w:top w:w="80" w:type="dxa"/>
              <w:left w:w="100" w:type="dxa"/>
              <w:bottom w:w="80" w:type="dxa"/>
              <w:right w:w="100" w:type="dxa"/>
            </w:tcMar>
            <w:vAlign w:val="center"/>
          </w:tcPr>
          <w:p w14:paraId="46A76046" w14:textId="441D6757" w:rsidR="00D93BEA" w:rsidRDefault="00D93BEA" w:rsidP="00D93BEA">
            <w:pPr>
              <w:jc w:val="center"/>
            </w:pPr>
            <w:r>
              <w:rPr>
                <w:rFonts w:ascii="Arial" w:hAnsi="Arial" w:cs="Arial"/>
              </w:rPr>
              <w:t>10</w:t>
            </w:r>
          </w:p>
        </w:tc>
        <w:tc>
          <w:tcPr>
            <w:tcW w:w="1616" w:type="dxa"/>
            <w:tcMar>
              <w:top w:w="80" w:type="dxa"/>
              <w:left w:w="100" w:type="dxa"/>
              <w:bottom w:w="80" w:type="dxa"/>
              <w:right w:w="100" w:type="dxa"/>
            </w:tcMar>
            <w:vAlign w:val="center"/>
          </w:tcPr>
          <w:p w14:paraId="1E252896" w14:textId="5366C7F3" w:rsidR="00D93BEA" w:rsidRDefault="00D93BEA" w:rsidP="00D93BEA">
            <w:pPr>
              <w:jc w:val="center"/>
            </w:pPr>
            <w:r>
              <w:rPr>
                <w:rFonts w:ascii="Arial" w:hAnsi="Arial" w:cs="Arial"/>
              </w:rPr>
              <w:t>30 programs</w:t>
            </w:r>
          </w:p>
        </w:tc>
        <w:tc>
          <w:tcPr>
            <w:tcW w:w="1616" w:type="dxa"/>
            <w:tcMar>
              <w:top w:w="80" w:type="dxa"/>
              <w:left w:w="100" w:type="dxa"/>
              <w:bottom w:w="80" w:type="dxa"/>
              <w:right w:w="100" w:type="dxa"/>
            </w:tcMar>
          </w:tcPr>
          <w:p w14:paraId="1292BD17" w14:textId="77777777" w:rsidR="00D93BEA" w:rsidRDefault="00D93BEA" w:rsidP="00D93BEA">
            <w:pPr>
              <w:jc w:val="center"/>
            </w:pPr>
            <w:r>
              <w:rPr>
                <w:sz w:val="19"/>
                <w:szCs w:val="19"/>
              </w:rPr>
              <w:t>8 programs</w:t>
            </w:r>
          </w:p>
        </w:tc>
        <w:tc>
          <w:tcPr>
            <w:tcW w:w="1313" w:type="dxa"/>
            <w:tcMar>
              <w:top w:w="80" w:type="dxa"/>
              <w:left w:w="100" w:type="dxa"/>
              <w:bottom w:w="80" w:type="dxa"/>
              <w:right w:w="100" w:type="dxa"/>
            </w:tcMar>
          </w:tcPr>
          <w:p w14:paraId="226CD07B" w14:textId="77777777" w:rsidR="00D93BEA" w:rsidRDefault="00D93BEA" w:rsidP="00D93BEA">
            <w:pPr>
              <w:jc w:val="center"/>
            </w:pPr>
            <w:r>
              <w:rPr>
                <w:sz w:val="19"/>
                <w:szCs w:val="19"/>
              </w:rPr>
              <w:t>33.3%</w:t>
            </w:r>
          </w:p>
        </w:tc>
        <w:tc>
          <w:tcPr>
            <w:tcW w:w="1212" w:type="dxa"/>
            <w:tcMar>
              <w:top w:w="80" w:type="dxa"/>
              <w:left w:w="100" w:type="dxa"/>
              <w:bottom w:w="80" w:type="dxa"/>
              <w:right w:w="100" w:type="dxa"/>
            </w:tcMar>
          </w:tcPr>
          <w:p w14:paraId="4386D035" w14:textId="77777777" w:rsidR="00D93BEA" w:rsidRDefault="00D93BEA" w:rsidP="00D93BEA">
            <w:pPr>
              <w:jc w:val="center"/>
            </w:pPr>
            <w:r>
              <w:rPr>
                <w:sz w:val="19"/>
                <w:szCs w:val="19"/>
              </w:rPr>
              <w:t>3.3</w:t>
            </w:r>
          </w:p>
        </w:tc>
      </w:tr>
      <w:tr w:rsidR="00D93BEA" w14:paraId="3379F556" w14:textId="77777777" w:rsidTr="00D93BEA">
        <w:tblPrEx>
          <w:tblCellMar>
            <w:top w:w="0" w:type="dxa"/>
            <w:bottom w:w="0" w:type="dxa"/>
          </w:tblCellMar>
        </w:tblPrEx>
        <w:tc>
          <w:tcPr>
            <w:tcW w:w="506" w:type="dxa"/>
            <w:shd w:val="clear" w:color="auto" w:fill="DDEBF7"/>
            <w:tcMar>
              <w:top w:w="80" w:type="dxa"/>
              <w:left w:w="100" w:type="dxa"/>
              <w:bottom w:w="80" w:type="dxa"/>
              <w:right w:w="100" w:type="dxa"/>
            </w:tcMar>
            <w:vAlign w:val="center"/>
          </w:tcPr>
          <w:p w14:paraId="42019239" w14:textId="29118F91" w:rsidR="00D93BEA" w:rsidRDefault="00D93BEA" w:rsidP="00D93BEA">
            <w:r>
              <w:rPr>
                <w:rFonts w:ascii="Arial" w:hAnsi="Arial" w:cs="Arial"/>
                <w:b/>
                <w:bCs/>
              </w:rPr>
              <w:t>TOTAL</w:t>
            </w:r>
          </w:p>
        </w:tc>
        <w:tc>
          <w:tcPr>
            <w:tcW w:w="2828" w:type="dxa"/>
            <w:shd w:val="clear" w:color="auto" w:fill="DDEBF7"/>
            <w:tcMar>
              <w:top w:w="80" w:type="dxa"/>
              <w:left w:w="100" w:type="dxa"/>
              <w:bottom w:w="80" w:type="dxa"/>
              <w:right w:w="100" w:type="dxa"/>
            </w:tcMar>
            <w:vAlign w:val="center"/>
          </w:tcPr>
          <w:p w14:paraId="51535FB6" w14:textId="7E4F8CC5" w:rsidR="00D93BEA" w:rsidRDefault="00D93BEA" w:rsidP="00D93BEA">
            <w:r>
              <w:rPr>
                <w:rFonts w:ascii="Arial" w:hAnsi="Arial" w:cs="Arial"/>
                <w:b/>
                <w:bCs/>
              </w:rPr>
              <w:t>TOTAL SCORE</w:t>
            </w:r>
          </w:p>
        </w:tc>
        <w:tc>
          <w:tcPr>
            <w:tcW w:w="909" w:type="dxa"/>
            <w:shd w:val="clear" w:color="auto" w:fill="DDEBF7"/>
            <w:tcMar>
              <w:top w:w="80" w:type="dxa"/>
              <w:left w:w="100" w:type="dxa"/>
              <w:bottom w:w="80" w:type="dxa"/>
              <w:right w:w="100" w:type="dxa"/>
            </w:tcMar>
            <w:vAlign w:val="center"/>
          </w:tcPr>
          <w:p w14:paraId="068B9C24" w14:textId="22C4448E" w:rsidR="00D93BEA" w:rsidRDefault="00D93BEA" w:rsidP="00D93BEA">
            <w:pPr>
              <w:jc w:val="center"/>
            </w:pPr>
            <w:r>
              <w:rPr>
                <w:rFonts w:ascii="Arial" w:hAnsi="Arial" w:cs="Arial"/>
                <w:b/>
                <w:bCs/>
              </w:rPr>
              <w:t>100</w:t>
            </w:r>
          </w:p>
        </w:tc>
        <w:tc>
          <w:tcPr>
            <w:tcW w:w="1616" w:type="dxa"/>
            <w:shd w:val="clear" w:color="auto" w:fill="DDEBF7"/>
            <w:tcMar>
              <w:top w:w="80" w:type="dxa"/>
              <w:left w:w="100" w:type="dxa"/>
              <w:bottom w:w="80" w:type="dxa"/>
              <w:right w:w="100" w:type="dxa"/>
            </w:tcMar>
            <w:vAlign w:val="center"/>
          </w:tcPr>
          <w:p w14:paraId="34F1CE72" w14:textId="77777777" w:rsidR="00D93BEA" w:rsidRDefault="00D93BEA" w:rsidP="00D93BEA"/>
        </w:tc>
        <w:tc>
          <w:tcPr>
            <w:tcW w:w="1616" w:type="dxa"/>
            <w:shd w:val="clear" w:color="auto" w:fill="DDEBF7"/>
            <w:tcMar>
              <w:top w:w="80" w:type="dxa"/>
              <w:left w:w="100" w:type="dxa"/>
              <w:bottom w:w="80" w:type="dxa"/>
              <w:right w:w="100" w:type="dxa"/>
            </w:tcMar>
          </w:tcPr>
          <w:p w14:paraId="3B89BC30" w14:textId="77777777" w:rsidR="00D93BEA" w:rsidRDefault="00D93BEA" w:rsidP="00D93BEA"/>
        </w:tc>
        <w:tc>
          <w:tcPr>
            <w:tcW w:w="1313" w:type="dxa"/>
            <w:shd w:val="clear" w:color="auto" w:fill="DDEBF7"/>
            <w:tcMar>
              <w:top w:w="80" w:type="dxa"/>
              <w:left w:w="100" w:type="dxa"/>
              <w:bottom w:w="80" w:type="dxa"/>
              <w:right w:w="100" w:type="dxa"/>
            </w:tcMar>
          </w:tcPr>
          <w:p w14:paraId="2E054FEF" w14:textId="77777777" w:rsidR="00D93BEA" w:rsidRDefault="00D93BEA" w:rsidP="00D93BEA"/>
        </w:tc>
        <w:tc>
          <w:tcPr>
            <w:tcW w:w="1212" w:type="dxa"/>
            <w:shd w:val="clear" w:color="auto" w:fill="DDEBF7"/>
            <w:tcMar>
              <w:top w:w="80" w:type="dxa"/>
              <w:left w:w="100" w:type="dxa"/>
              <w:bottom w:w="80" w:type="dxa"/>
              <w:right w:w="100" w:type="dxa"/>
            </w:tcMar>
          </w:tcPr>
          <w:p w14:paraId="1CD85D24" w14:textId="0A32BC60" w:rsidR="00D93BEA" w:rsidRDefault="00D93BEA" w:rsidP="00D93BEA">
            <w:pPr>
              <w:jc w:val="center"/>
            </w:pPr>
            <w:r>
              <w:rPr>
                <w:b/>
                <w:bCs/>
              </w:rPr>
              <w:t>61.4</w:t>
            </w:r>
          </w:p>
        </w:tc>
      </w:tr>
    </w:tbl>
    <w:p w14:paraId="68C5B41D" w14:textId="77777777" w:rsidR="00490A4F" w:rsidRDefault="00490A4F">
      <w:pPr>
        <w:spacing w:after="200"/>
      </w:pPr>
    </w:p>
    <w:p w14:paraId="039BAE81" w14:textId="77777777" w:rsidR="00490A4F" w:rsidRDefault="00000000">
      <w:pPr>
        <w:pStyle w:val="Heading1"/>
        <w:spacing w:before="300" w:after="150"/>
      </w:pPr>
      <w:r>
        <w:t>4. Category Analysis</w:t>
      </w:r>
    </w:p>
    <w:p w14:paraId="1EC48C89" w14:textId="77777777" w:rsidR="00D93BEA" w:rsidRPr="00D93BEA" w:rsidRDefault="00000000" w:rsidP="00D93BEA">
      <w:pPr>
        <w:pStyle w:val="Heading2"/>
        <w:spacing w:before="240" w:after="120"/>
        <w:rPr>
          <w:b/>
          <w:bCs/>
        </w:rPr>
      </w:pPr>
      <w:r>
        <w:t xml:space="preserve">4.1 </w:t>
      </w:r>
      <w:r w:rsidR="00D93BEA" w:rsidRPr="00D93BEA">
        <w:rPr>
          <w:b/>
          <w:bCs/>
        </w:rPr>
        <w:t>Generation &amp; Inventory (15/15 earned)</w:t>
      </w:r>
    </w:p>
    <w:p w14:paraId="75502B79" w14:textId="77777777" w:rsidR="00D93BEA" w:rsidRPr="00D93BEA" w:rsidRDefault="00D93BEA" w:rsidP="00D93BEA">
      <w:pPr>
        <w:pStyle w:val="Heading2"/>
        <w:spacing w:before="240" w:after="120"/>
        <w:rPr>
          <w:color w:val="auto"/>
        </w:rPr>
      </w:pPr>
      <w:r w:rsidRPr="00D93BEA">
        <w:rPr>
          <w:color w:val="auto"/>
        </w:rPr>
        <w:t>All 31 districts submitted updated generation inventories for the reporting period, giving full marks on reporting completeness. Statewide, an estimated 88.5 million kg of e-waste was generated in the year, led by Bengaluru Urban, Mysuru, Belagavi, and Dharwad - the state's most populous and industrialized districts.</w:t>
      </w:r>
    </w:p>
    <w:p w14:paraId="1FA0BAA5" w14:textId="77777777" w:rsidR="00D93BEA" w:rsidRPr="00D93BEA" w:rsidRDefault="00D93BEA" w:rsidP="00D93BEA">
      <w:pPr>
        <w:pStyle w:val="Heading2"/>
        <w:spacing w:before="240" w:after="120"/>
        <w:rPr>
          <w:b/>
          <w:bCs/>
        </w:rPr>
      </w:pPr>
      <w:r w:rsidRPr="00D93BEA">
        <w:rPr>
          <w:b/>
          <w:bCs/>
        </w:rPr>
        <w:t>4.2 Collection Performance (12.4/20 earned)</w:t>
      </w:r>
    </w:p>
    <w:p w14:paraId="7424FED1" w14:textId="77777777" w:rsidR="00D93BEA" w:rsidRPr="00D93BEA" w:rsidRDefault="00D93BEA" w:rsidP="00D93BEA">
      <w:pPr>
        <w:pStyle w:val="Heading2"/>
        <w:spacing w:before="240" w:after="120"/>
        <w:rPr>
          <w:color w:val="auto"/>
        </w:rPr>
      </w:pPr>
      <w:r w:rsidRPr="00D93BEA">
        <w:rPr>
          <w:color w:val="auto"/>
        </w:rPr>
        <w:t xml:space="preserve">Of the total e-waste generated, an estimated 62.1% (54.9 million kg) was collected through municipal drives, registered collection centres, KEONICS aggregation points, and EPR collection networks. This is a moderate performance but falls short of the 100% target, with collection rates notably weaker in northern and coastal districts such as </w:t>
      </w:r>
      <w:proofErr w:type="spellStart"/>
      <w:r w:rsidRPr="00D93BEA">
        <w:rPr>
          <w:color w:val="auto"/>
        </w:rPr>
        <w:t>Yadgir</w:t>
      </w:r>
      <w:proofErr w:type="spellEnd"/>
      <w:r w:rsidRPr="00D93BEA">
        <w:rPr>
          <w:color w:val="auto"/>
        </w:rPr>
        <w:t>, Raichur, and Uttara Kannada compared to urban centres like Bengaluru and Mysuru.</w:t>
      </w:r>
    </w:p>
    <w:p w14:paraId="4A507E94" w14:textId="77777777" w:rsidR="00D93BEA" w:rsidRPr="00D93BEA" w:rsidRDefault="00D93BEA" w:rsidP="00D93BEA">
      <w:pPr>
        <w:pStyle w:val="Heading2"/>
        <w:spacing w:before="240" w:after="120"/>
        <w:rPr>
          <w:b/>
          <w:bCs/>
        </w:rPr>
      </w:pPr>
      <w:r w:rsidRPr="00D93BEA">
        <w:rPr>
          <w:b/>
          <w:bCs/>
        </w:rPr>
        <w:t>4.3 Formal Recycling &amp; Treatment (7.7/20 earned) - Weakest Category</w:t>
      </w:r>
    </w:p>
    <w:p w14:paraId="0D14C7EA" w14:textId="77777777" w:rsidR="00D93BEA" w:rsidRPr="00D93BEA" w:rsidRDefault="00D93BEA" w:rsidP="00D93BEA">
      <w:pPr>
        <w:pStyle w:val="Heading2"/>
        <w:spacing w:before="240" w:after="120"/>
        <w:rPr>
          <w:color w:val="auto"/>
        </w:rPr>
      </w:pPr>
      <w:r w:rsidRPr="00D93BEA">
        <w:rPr>
          <w:color w:val="auto"/>
        </w:rPr>
        <w:t>Only around 38.5% of generated e-waste reached CPCB/KSPCB-authorized recyclers for formal processing. This points to a significant gap between collection and downstream formal treatment capacity within the state, with much of the collected volume likely leaking into informal recycling channels before reaching processing facilities.</w:t>
      </w:r>
    </w:p>
    <w:p w14:paraId="71460ECE" w14:textId="77777777" w:rsidR="00D93BEA" w:rsidRPr="00D93BEA" w:rsidRDefault="00D93BEA" w:rsidP="00D93BEA">
      <w:pPr>
        <w:pStyle w:val="Heading2"/>
        <w:spacing w:before="240" w:after="120"/>
        <w:rPr>
          <w:b/>
          <w:bCs/>
        </w:rPr>
      </w:pPr>
      <w:r w:rsidRPr="00D93BEA">
        <w:rPr>
          <w:b/>
          <w:bCs/>
        </w:rPr>
        <w:t>4.4 Regulatory Compliance (11.1/15 earned)</w:t>
      </w:r>
    </w:p>
    <w:p w14:paraId="27B2FAE2" w14:textId="77777777" w:rsidR="00D93BEA" w:rsidRPr="00D93BEA" w:rsidRDefault="00D93BEA" w:rsidP="00D93BEA">
      <w:pPr>
        <w:pStyle w:val="Heading2"/>
        <w:spacing w:before="240" w:after="120"/>
        <w:rPr>
          <w:color w:val="auto"/>
        </w:rPr>
      </w:pPr>
      <w:r w:rsidRPr="00D93BEA">
        <w:rPr>
          <w:color w:val="auto"/>
        </w:rPr>
        <w:t>Of the registered producers/EPR entities assessed, 74.0% were fully compliant with EPR obligations, inspection schedules, and reporting requirements. KSPCB enforcement drives have accelerated registrations, though several entities remain non-compliant or partially compliant, with penalty/show-cause proceedings still pending resolution in a number of cases.</w:t>
      </w:r>
    </w:p>
    <w:p w14:paraId="184F884B" w14:textId="77777777" w:rsidR="00D93BEA" w:rsidRPr="00D93BEA" w:rsidRDefault="00D93BEA" w:rsidP="00D93BEA">
      <w:pPr>
        <w:pStyle w:val="Heading2"/>
        <w:spacing w:before="240" w:after="120"/>
        <w:rPr>
          <w:b/>
          <w:bCs/>
        </w:rPr>
      </w:pPr>
      <w:r w:rsidRPr="00D93BEA">
        <w:rPr>
          <w:b/>
          <w:bCs/>
        </w:rPr>
        <w:t>4.5 Informal Sector Integration (3.1/10 earned)</w:t>
      </w:r>
    </w:p>
    <w:p w14:paraId="3E2C7711" w14:textId="77777777" w:rsidR="00D93BEA" w:rsidRPr="00D93BEA" w:rsidRDefault="00D93BEA" w:rsidP="00D93BEA">
      <w:pPr>
        <w:pStyle w:val="Heading2"/>
        <w:spacing w:before="240" w:after="120"/>
      </w:pPr>
      <w:r w:rsidRPr="00D93BEA">
        <w:rPr>
          <w:color w:val="auto"/>
        </w:rPr>
        <w:t>Twelve known informal e-waste clusters were assessed across districts including Bengaluru (</w:t>
      </w:r>
      <w:proofErr w:type="spellStart"/>
      <w:r w:rsidRPr="00D93BEA">
        <w:rPr>
          <w:color w:val="auto"/>
        </w:rPr>
        <w:t>Nayandahalli</w:t>
      </w:r>
      <w:proofErr w:type="spellEnd"/>
      <w:r w:rsidRPr="00D93BEA">
        <w:rPr>
          <w:color w:val="auto"/>
        </w:rPr>
        <w:t xml:space="preserve">, </w:t>
      </w:r>
      <w:proofErr w:type="spellStart"/>
      <w:r w:rsidRPr="00D93BEA">
        <w:rPr>
          <w:color w:val="auto"/>
        </w:rPr>
        <w:t>Goraguntepalya</w:t>
      </w:r>
      <w:proofErr w:type="spellEnd"/>
      <w:r w:rsidRPr="00D93BEA">
        <w:rPr>
          <w:color w:val="auto"/>
        </w:rPr>
        <w:t>), Hubballi, and Kalaburagi. Only about 31.0% of an estimated 2,400 informal workers have been registered or trained, indicating substantial unaddressed informal-sector risk</w:t>
      </w:r>
      <w:r w:rsidRPr="00D93BEA">
        <w:t>.</w:t>
      </w:r>
    </w:p>
    <w:p w14:paraId="4AE0AE80" w14:textId="77777777" w:rsidR="00D93BEA" w:rsidRPr="00D93BEA" w:rsidRDefault="00D93BEA" w:rsidP="00D93BEA">
      <w:pPr>
        <w:pStyle w:val="Heading2"/>
        <w:spacing w:before="240" w:after="120"/>
        <w:rPr>
          <w:b/>
          <w:bCs/>
        </w:rPr>
      </w:pPr>
      <w:r w:rsidRPr="00D93BEA">
        <w:rPr>
          <w:b/>
          <w:bCs/>
        </w:rPr>
        <w:t>4.6 Environmental &amp; Health Safeguards (7.0/10 earned)</w:t>
      </w:r>
    </w:p>
    <w:p w14:paraId="289350D9" w14:textId="77777777" w:rsidR="00D93BEA" w:rsidRPr="00D93BEA" w:rsidRDefault="00D93BEA" w:rsidP="00D93BEA">
      <w:pPr>
        <w:pStyle w:val="Heading2"/>
        <w:spacing w:before="240" w:after="120"/>
        <w:rPr>
          <w:color w:val="auto"/>
        </w:rPr>
      </w:pPr>
      <w:r w:rsidRPr="00D93BEA">
        <w:rPr>
          <w:color w:val="auto"/>
        </w:rPr>
        <w:t>Environmental monitoring was conducted across tracked hotspots, of which 70.0% also received a health screening camp. Several sites recorded contaminant levels exceeding safe limits for heavy metals (such as lead and cadmium), underscoring the need for follow-up site remediation.</w:t>
      </w:r>
    </w:p>
    <w:p w14:paraId="36916156" w14:textId="77777777" w:rsidR="00D93BEA" w:rsidRPr="00D93BEA" w:rsidRDefault="00D93BEA" w:rsidP="00D93BEA">
      <w:pPr>
        <w:pStyle w:val="Heading2"/>
        <w:spacing w:before="240" w:after="120"/>
        <w:rPr>
          <w:b/>
          <w:bCs/>
        </w:rPr>
      </w:pPr>
      <w:r w:rsidRPr="00D93BEA">
        <w:rPr>
          <w:b/>
          <w:bCs/>
        </w:rPr>
        <w:t>4.7 Awareness &amp; Outreach (5.1/10 earned)</w:t>
      </w:r>
    </w:p>
    <w:p w14:paraId="730C7AE2" w14:textId="67590949" w:rsidR="00490A4F" w:rsidRPr="00D93BEA" w:rsidRDefault="00D93BEA" w:rsidP="00D93BEA">
      <w:pPr>
        <w:pStyle w:val="Heading2"/>
        <w:spacing w:before="240" w:after="120"/>
        <w:rPr>
          <w:color w:val="auto"/>
        </w:rPr>
      </w:pPr>
      <w:r w:rsidRPr="00D93BEA">
        <w:rPr>
          <w:color w:val="auto"/>
        </w:rPr>
        <w:t>Fifteen awareness campaigns/collection drives were conducted against a target of 30 for the period (50.0% achievement), reaching roughly 28,000 participants statewide. Outreach was concentrated in urban IT hubs, with limited presence in rural and interior districts.</w:t>
      </w:r>
    </w:p>
    <w:p w14:paraId="40D336D3" w14:textId="77777777" w:rsidR="00490A4F" w:rsidRDefault="00000000">
      <w:pPr>
        <w:pStyle w:val="Heading1"/>
        <w:spacing w:before="300" w:after="150"/>
      </w:pPr>
      <w:r>
        <w:t>5. Key Findings</w:t>
      </w:r>
    </w:p>
    <w:p w14:paraId="09B2F25D" w14:textId="77777777" w:rsidR="00D93BEA" w:rsidRPr="00D93BEA" w:rsidRDefault="00D93BEA" w:rsidP="00D93BEA">
      <w:pPr>
        <w:pStyle w:val="ListParagraph"/>
        <w:spacing w:before="100" w:beforeAutospacing="1" w:after="100" w:afterAutospacing="1"/>
        <w:ind w:left="720"/>
        <w:rPr>
          <w:sz w:val="24"/>
          <w:szCs w:val="24"/>
        </w:rPr>
      </w:pPr>
      <w:proofErr w:type="gramStart"/>
      <w:r w:rsidRPr="00D93BEA">
        <w:rPr>
          <w:rFonts w:hAnsi="Symbol"/>
          <w:sz w:val="24"/>
          <w:szCs w:val="24"/>
        </w:rPr>
        <w:t></w:t>
      </w:r>
      <w:r w:rsidRPr="00D93BEA">
        <w:rPr>
          <w:sz w:val="24"/>
          <w:szCs w:val="24"/>
        </w:rPr>
        <w:t xml:space="preserve">  </w:t>
      </w:r>
      <w:r w:rsidRPr="00D93BEA">
        <w:rPr>
          <w:b/>
          <w:bCs/>
          <w:sz w:val="24"/>
          <w:szCs w:val="24"/>
        </w:rPr>
        <w:t>Upper</w:t>
      </w:r>
      <w:proofErr w:type="gramEnd"/>
      <w:r w:rsidRPr="00D93BEA">
        <w:rPr>
          <w:b/>
          <w:bCs/>
          <w:sz w:val="24"/>
          <w:szCs w:val="24"/>
        </w:rPr>
        <w:t>-Mid Performance Band:</w:t>
      </w:r>
      <w:r w:rsidRPr="00D93BEA">
        <w:rPr>
          <w:sz w:val="24"/>
          <w:szCs w:val="24"/>
        </w:rPr>
        <w:t xml:space="preserve"> Karnataka achieves a composite score of </w:t>
      </w:r>
      <w:r w:rsidRPr="00D93BEA">
        <w:rPr>
          <w:b/>
          <w:bCs/>
          <w:sz w:val="24"/>
          <w:szCs w:val="24"/>
        </w:rPr>
        <w:t>61.4 / 100</w:t>
      </w:r>
      <w:r w:rsidRPr="00D93BEA">
        <w:rPr>
          <w:sz w:val="24"/>
          <w:szCs w:val="24"/>
        </w:rPr>
        <w:t>, placing it near the upper threshold of the "Needs Improvement" band (45–64) and approaching the "Good" category threshold (65+).</w:t>
      </w:r>
    </w:p>
    <w:p w14:paraId="31089A4D" w14:textId="77777777" w:rsidR="00D93BEA" w:rsidRPr="00D93BEA" w:rsidRDefault="00D93BEA" w:rsidP="00D93BEA">
      <w:pPr>
        <w:pStyle w:val="ListParagraph"/>
        <w:spacing w:before="100" w:beforeAutospacing="1" w:after="100" w:afterAutospacing="1"/>
        <w:ind w:left="720"/>
        <w:rPr>
          <w:sz w:val="24"/>
          <w:szCs w:val="24"/>
        </w:rPr>
      </w:pPr>
      <w:proofErr w:type="gramStart"/>
      <w:r w:rsidRPr="00D93BEA">
        <w:rPr>
          <w:rFonts w:hAnsi="Symbol"/>
          <w:sz w:val="24"/>
          <w:szCs w:val="24"/>
        </w:rPr>
        <w:t></w:t>
      </w:r>
      <w:r w:rsidRPr="00D93BEA">
        <w:rPr>
          <w:sz w:val="24"/>
          <w:szCs w:val="24"/>
        </w:rPr>
        <w:t xml:space="preserve">  </w:t>
      </w:r>
      <w:r w:rsidRPr="00D93BEA">
        <w:rPr>
          <w:b/>
          <w:bCs/>
          <w:sz w:val="24"/>
          <w:szCs w:val="24"/>
        </w:rPr>
        <w:t>Infrastructure</w:t>
      </w:r>
      <w:proofErr w:type="gramEnd"/>
      <w:r w:rsidRPr="00D93BEA">
        <w:rPr>
          <w:b/>
          <w:bCs/>
          <w:sz w:val="24"/>
          <w:szCs w:val="24"/>
        </w:rPr>
        <w:t xml:space="preserve"> Capacity vs. Processing Leakage:</w:t>
      </w:r>
      <w:r w:rsidRPr="00D93BEA">
        <w:rPr>
          <w:sz w:val="24"/>
          <w:szCs w:val="24"/>
        </w:rPr>
        <w:t xml:space="preserve"> Despite having a strong processing foundation of </w:t>
      </w:r>
      <w:r w:rsidRPr="00D93BEA">
        <w:rPr>
          <w:b/>
          <w:bCs/>
          <w:sz w:val="24"/>
          <w:szCs w:val="24"/>
        </w:rPr>
        <w:t>112 registered units</w:t>
      </w:r>
      <w:r w:rsidRPr="00D93BEA">
        <w:rPr>
          <w:sz w:val="24"/>
          <w:szCs w:val="24"/>
        </w:rPr>
        <w:t xml:space="preserve"> with an authorized capacity of ~1.99 lakh MT, actual formal processing stands at </w:t>
      </w:r>
      <w:r w:rsidRPr="00D93BEA">
        <w:rPr>
          <w:b/>
          <w:bCs/>
          <w:sz w:val="24"/>
          <w:szCs w:val="24"/>
        </w:rPr>
        <w:t>38.5%</w:t>
      </w:r>
      <w:r w:rsidRPr="00D93BEA">
        <w:rPr>
          <w:sz w:val="24"/>
          <w:szCs w:val="24"/>
        </w:rPr>
        <w:t>. This reveals a major leakage gap where collected e-waste is diverted to informal channels prior to downstream treatment.</w:t>
      </w:r>
    </w:p>
    <w:p w14:paraId="32143E83" w14:textId="77777777" w:rsidR="00D93BEA" w:rsidRPr="00D93BEA" w:rsidRDefault="00D93BEA" w:rsidP="00D93BEA">
      <w:pPr>
        <w:pStyle w:val="ListParagraph"/>
        <w:spacing w:before="100" w:beforeAutospacing="1" w:after="100" w:afterAutospacing="1"/>
        <w:ind w:left="720"/>
        <w:rPr>
          <w:sz w:val="24"/>
          <w:szCs w:val="24"/>
        </w:rPr>
      </w:pPr>
      <w:proofErr w:type="gramStart"/>
      <w:r w:rsidRPr="00D93BEA">
        <w:rPr>
          <w:rFonts w:hAnsi="Symbol"/>
          <w:sz w:val="24"/>
          <w:szCs w:val="24"/>
        </w:rPr>
        <w:t></w:t>
      </w:r>
      <w:r w:rsidRPr="00D93BEA">
        <w:rPr>
          <w:sz w:val="24"/>
          <w:szCs w:val="24"/>
        </w:rPr>
        <w:t xml:space="preserve">  </w:t>
      </w:r>
      <w:r w:rsidRPr="00D93BEA">
        <w:rPr>
          <w:b/>
          <w:bCs/>
          <w:sz w:val="24"/>
          <w:szCs w:val="24"/>
        </w:rPr>
        <w:t>Informal</w:t>
      </w:r>
      <w:proofErr w:type="gramEnd"/>
      <w:r w:rsidRPr="00D93BEA">
        <w:rPr>
          <w:b/>
          <w:bCs/>
          <w:sz w:val="24"/>
          <w:szCs w:val="24"/>
        </w:rPr>
        <w:t xml:space="preserve"> Sector Exposure:</w:t>
      </w:r>
      <w:r w:rsidRPr="00D93BEA">
        <w:rPr>
          <w:sz w:val="24"/>
          <w:szCs w:val="24"/>
        </w:rPr>
        <w:t xml:space="preserve"> Informal sector integration (</w:t>
      </w:r>
      <w:r w:rsidRPr="00D93BEA">
        <w:rPr>
          <w:b/>
          <w:bCs/>
          <w:sz w:val="24"/>
          <w:szCs w:val="24"/>
        </w:rPr>
        <w:t>3.1 / 10 points</w:t>
      </w:r>
      <w:r w:rsidRPr="00D93BEA">
        <w:rPr>
          <w:sz w:val="24"/>
          <w:szCs w:val="24"/>
        </w:rPr>
        <w:t xml:space="preserve">) remains one of the weakest categories. Out of an estimated 2,400 informal workers across 12 major clusters (e.g., </w:t>
      </w:r>
      <w:proofErr w:type="spellStart"/>
      <w:r w:rsidRPr="00D93BEA">
        <w:rPr>
          <w:sz w:val="24"/>
          <w:szCs w:val="24"/>
        </w:rPr>
        <w:t>Nayandahalli</w:t>
      </w:r>
      <w:proofErr w:type="spellEnd"/>
      <w:r w:rsidRPr="00D93BEA">
        <w:rPr>
          <w:sz w:val="24"/>
          <w:szCs w:val="24"/>
        </w:rPr>
        <w:t xml:space="preserve">, </w:t>
      </w:r>
      <w:proofErr w:type="spellStart"/>
      <w:r w:rsidRPr="00D93BEA">
        <w:rPr>
          <w:sz w:val="24"/>
          <w:szCs w:val="24"/>
        </w:rPr>
        <w:t>Goraguntepalya</w:t>
      </w:r>
      <w:proofErr w:type="spellEnd"/>
      <w:r w:rsidRPr="00D93BEA">
        <w:rPr>
          <w:sz w:val="24"/>
          <w:szCs w:val="24"/>
        </w:rPr>
        <w:t xml:space="preserve">), only </w:t>
      </w:r>
      <w:r w:rsidRPr="00D93BEA">
        <w:rPr>
          <w:b/>
          <w:bCs/>
          <w:sz w:val="24"/>
          <w:szCs w:val="24"/>
        </w:rPr>
        <w:t>31.0%</w:t>
      </w:r>
      <w:r w:rsidRPr="00D93BEA">
        <w:rPr>
          <w:sz w:val="24"/>
          <w:szCs w:val="24"/>
        </w:rPr>
        <w:t xml:space="preserve"> are registered or trained, and only 1 cluster is formalized.</w:t>
      </w:r>
    </w:p>
    <w:p w14:paraId="4DAEE674" w14:textId="77777777" w:rsidR="00D93BEA" w:rsidRPr="00D93BEA" w:rsidRDefault="00D93BEA" w:rsidP="00D93BEA">
      <w:pPr>
        <w:pStyle w:val="ListParagraph"/>
        <w:spacing w:before="100" w:beforeAutospacing="1" w:after="100" w:afterAutospacing="1"/>
        <w:ind w:left="720"/>
        <w:rPr>
          <w:sz w:val="24"/>
          <w:szCs w:val="24"/>
        </w:rPr>
      </w:pPr>
      <w:proofErr w:type="gramStart"/>
      <w:r w:rsidRPr="00D93BEA">
        <w:rPr>
          <w:rFonts w:hAnsi="Symbol"/>
          <w:sz w:val="24"/>
          <w:szCs w:val="24"/>
        </w:rPr>
        <w:t></w:t>
      </w:r>
      <w:r w:rsidRPr="00D93BEA">
        <w:rPr>
          <w:sz w:val="24"/>
          <w:szCs w:val="24"/>
        </w:rPr>
        <w:t xml:space="preserve">  </w:t>
      </w:r>
      <w:r w:rsidRPr="00D93BEA">
        <w:rPr>
          <w:b/>
          <w:bCs/>
          <w:sz w:val="24"/>
          <w:szCs w:val="24"/>
        </w:rPr>
        <w:t>Metropolitan</w:t>
      </w:r>
      <w:proofErr w:type="gramEnd"/>
      <w:r w:rsidRPr="00D93BEA">
        <w:rPr>
          <w:b/>
          <w:bCs/>
          <w:sz w:val="24"/>
          <w:szCs w:val="24"/>
        </w:rPr>
        <w:t xml:space="preserve"> Disparity:</w:t>
      </w:r>
      <w:r w:rsidRPr="00D93BEA">
        <w:rPr>
          <w:sz w:val="24"/>
          <w:szCs w:val="24"/>
        </w:rPr>
        <w:t xml:space="preserve"> E-waste generation and infrastructure are heavily concentrated in Bengaluru Urban (which accounts for over </w:t>
      </w:r>
      <w:r w:rsidRPr="00D93BEA">
        <w:rPr>
          <w:b/>
          <w:bCs/>
          <w:sz w:val="24"/>
          <w:szCs w:val="24"/>
        </w:rPr>
        <w:t>55%</w:t>
      </w:r>
      <w:r w:rsidRPr="00D93BEA">
        <w:rPr>
          <w:sz w:val="24"/>
          <w:szCs w:val="24"/>
        </w:rPr>
        <w:t xml:space="preserve"> of state-level generation). Collection efficiency drops significantly in northern and coastal districts like </w:t>
      </w:r>
      <w:proofErr w:type="spellStart"/>
      <w:r w:rsidRPr="00D93BEA">
        <w:rPr>
          <w:sz w:val="24"/>
          <w:szCs w:val="24"/>
        </w:rPr>
        <w:t>Yadgir</w:t>
      </w:r>
      <w:proofErr w:type="spellEnd"/>
      <w:r w:rsidRPr="00D93BEA">
        <w:rPr>
          <w:sz w:val="24"/>
          <w:szCs w:val="24"/>
        </w:rPr>
        <w:t>, Raichur, and Uttara Kannada.</w:t>
      </w:r>
    </w:p>
    <w:p w14:paraId="49CBD931" w14:textId="77777777" w:rsidR="00D93BEA" w:rsidRPr="00D93BEA" w:rsidRDefault="00D93BEA" w:rsidP="00D93BEA">
      <w:pPr>
        <w:pStyle w:val="ListParagraph"/>
        <w:spacing w:before="100" w:beforeAutospacing="1" w:after="100" w:afterAutospacing="1"/>
        <w:ind w:left="720"/>
        <w:rPr>
          <w:sz w:val="24"/>
          <w:szCs w:val="24"/>
        </w:rPr>
      </w:pPr>
      <w:proofErr w:type="gramStart"/>
      <w:r w:rsidRPr="00D93BEA">
        <w:rPr>
          <w:rFonts w:hAnsi="Symbol"/>
          <w:sz w:val="24"/>
          <w:szCs w:val="24"/>
        </w:rPr>
        <w:t></w:t>
      </w:r>
      <w:r w:rsidRPr="00D93BEA">
        <w:rPr>
          <w:sz w:val="24"/>
          <w:szCs w:val="24"/>
        </w:rPr>
        <w:t xml:space="preserve">  </w:t>
      </w:r>
      <w:r w:rsidRPr="00D93BEA">
        <w:rPr>
          <w:b/>
          <w:bCs/>
          <w:sz w:val="24"/>
          <w:szCs w:val="24"/>
        </w:rPr>
        <w:t>Regulatory</w:t>
      </w:r>
      <w:proofErr w:type="gramEnd"/>
      <w:r w:rsidRPr="00D93BEA">
        <w:rPr>
          <w:b/>
          <w:bCs/>
          <w:sz w:val="24"/>
          <w:szCs w:val="24"/>
        </w:rPr>
        <w:t xml:space="preserve"> &amp; Safeguard Strengths:</w:t>
      </w:r>
      <w:r w:rsidRPr="00D93BEA">
        <w:rPr>
          <w:sz w:val="24"/>
          <w:szCs w:val="24"/>
        </w:rPr>
        <w:t xml:space="preserve"> Supported by KSPCB enforcement and KEONICS initiatives, the state shows solid performance in regulatory compliance (</w:t>
      </w:r>
      <w:r w:rsidRPr="00D93BEA">
        <w:rPr>
          <w:b/>
          <w:bCs/>
          <w:sz w:val="24"/>
          <w:szCs w:val="24"/>
        </w:rPr>
        <w:t>74.0%</w:t>
      </w:r>
      <w:r w:rsidRPr="00D93BEA">
        <w:rPr>
          <w:sz w:val="24"/>
          <w:szCs w:val="24"/>
        </w:rPr>
        <w:t xml:space="preserve">, earning </w:t>
      </w:r>
      <w:r w:rsidRPr="00D93BEA">
        <w:rPr>
          <w:b/>
          <w:bCs/>
          <w:sz w:val="24"/>
          <w:szCs w:val="24"/>
        </w:rPr>
        <w:t>11.1 / 15 points</w:t>
      </w:r>
      <w:r w:rsidRPr="00D93BEA">
        <w:rPr>
          <w:sz w:val="24"/>
          <w:szCs w:val="24"/>
        </w:rPr>
        <w:t>) and environmental safeguards (</w:t>
      </w:r>
      <w:r w:rsidRPr="00D93BEA">
        <w:rPr>
          <w:b/>
          <w:bCs/>
          <w:sz w:val="24"/>
          <w:szCs w:val="24"/>
        </w:rPr>
        <w:t>70.0%</w:t>
      </w:r>
      <w:r w:rsidRPr="00D93BEA">
        <w:rPr>
          <w:sz w:val="24"/>
          <w:szCs w:val="24"/>
        </w:rPr>
        <w:t xml:space="preserve"> coverage, earning </w:t>
      </w:r>
      <w:r w:rsidRPr="00D93BEA">
        <w:rPr>
          <w:b/>
          <w:bCs/>
          <w:sz w:val="24"/>
          <w:szCs w:val="24"/>
        </w:rPr>
        <w:t>7.0 / 10 points</w:t>
      </w:r>
      <w:r w:rsidRPr="00D93BEA">
        <w:rPr>
          <w:sz w:val="24"/>
          <w:szCs w:val="24"/>
        </w:rPr>
        <w:t>).</w:t>
      </w:r>
    </w:p>
    <w:p w14:paraId="7B82EF8B" w14:textId="77777777" w:rsidR="00490A4F" w:rsidRDefault="00000000">
      <w:pPr>
        <w:pStyle w:val="Heading1"/>
        <w:spacing w:before="300" w:after="150"/>
      </w:pPr>
      <w:r>
        <w:t>6. Recommendations</w:t>
      </w:r>
    </w:p>
    <w:p w14:paraId="4CB79DB4" w14:textId="2090EE60" w:rsidR="00B31F1D" w:rsidRPr="00B31F1D" w:rsidRDefault="00B31F1D" w:rsidP="00B31F1D">
      <w:pPr>
        <w:pStyle w:val="Heading1"/>
        <w:numPr>
          <w:ilvl w:val="0"/>
          <w:numId w:val="3"/>
        </w:numPr>
        <w:spacing w:before="300" w:after="150"/>
        <w:rPr>
          <w:color w:val="auto"/>
          <w:sz w:val="22"/>
          <w:szCs w:val="22"/>
        </w:rPr>
      </w:pPr>
      <w:r w:rsidRPr="00B31F1D">
        <w:rPr>
          <w:b/>
          <w:bCs/>
          <w:color w:val="auto"/>
          <w:sz w:val="22"/>
          <w:szCs w:val="22"/>
        </w:rPr>
        <w:t>Expand Collection Infrastructure in Tier-2 and Tier-3 Districts:</w:t>
      </w:r>
      <w:r w:rsidRPr="00B31F1D">
        <w:rPr>
          <w:color w:val="auto"/>
          <w:sz w:val="22"/>
          <w:szCs w:val="22"/>
        </w:rPr>
        <w:t xml:space="preserve"> Establish joint KSPCB-KEONICS regional e-waste collection </w:t>
      </w:r>
      <w:proofErr w:type="spellStart"/>
      <w:r w:rsidRPr="00B31F1D">
        <w:rPr>
          <w:color w:val="auto"/>
          <w:sz w:val="22"/>
          <w:szCs w:val="22"/>
        </w:rPr>
        <w:t>centers</w:t>
      </w:r>
      <w:proofErr w:type="spellEnd"/>
      <w:r w:rsidRPr="00B31F1D">
        <w:rPr>
          <w:color w:val="auto"/>
          <w:sz w:val="22"/>
          <w:szCs w:val="22"/>
        </w:rPr>
        <w:t xml:space="preserve"> in northern and coastal districts (such as </w:t>
      </w:r>
      <w:proofErr w:type="spellStart"/>
      <w:r w:rsidRPr="00B31F1D">
        <w:rPr>
          <w:color w:val="auto"/>
          <w:sz w:val="22"/>
          <w:szCs w:val="22"/>
        </w:rPr>
        <w:t>Yadgir</w:t>
      </w:r>
      <w:proofErr w:type="spellEnd"/>
      <w:r w:rsidRPr="00B31F1D">
        <w:rPr>
          <w:color w:val="auto"/>
          <w:sz w:val="22"/>
          <w:szCs w:val="22"/>
        </w:rPr>
        <w:t>, Raichur, Kalaburagi, and Uttara Kannada) to address the collection imbalance currently skewed toward Bengaluru Urban.</w:t>
      </w:r>
    </w:p>
    <w:p w14:paraId="3B29F0E9" w14:textId="7315A8F8" w:rsidR="00B31F1D" w:rsidRPr="00B31F1D" w:rsidRDefault="00B31F1D" w:rsidP="00B31F1D">
      <w:pPr>
        <w:pStyle w:val="Heading1"/>
        <w:numPr>
          <w:ilvl w:val="0"/>
          <w:numId w:val="3"/>
        </w:numPr>
        <w:spacing w:before="300" w:after="150"/>
        <w:rPr>
          <w:color w:val="auto"/>
          <w:sz w:val="22"/>
          <w:szCs w:val="22"/>
        </w:rPr>
      </w:pPr>
      <w:r w:rsidRPr="00B31F1D">
        <w:rPr>
          <w:b/>
          <w:bCs/>
          <w:color w:val="auto"/>
          <w:sz w:val="22"/>
          <w:szCs w:val="22"/>
        </w:rPr>
        <w:t>Formalize Informal Clusters:</w:t>
      </w:r>
      <w:r w:rsidRPr="00B31F1D">
        <w:rPr>
          <w:color w:val="auto"/>
          <w:sz w:val="22"/>
          <w:szCs w:val="22"/>
        </w:rPr>
        <w:t xml:space="preserve"> Implement target-driven formalization programs in major informal recycling hotspots (e.g., </w:t>
      </w:r>
      <w:proofErr w:type="spellStart"/>
      <w:r w:rsidRPr="00B31F1D">
        <w:rPr>
          <w:color w:val="auto"/>
          <w:sz w:val="22"/>
          <w:szCs w:val="22"/>
        </w:rPr>
        <w:t>Nayandahalli</w:t>
      </w:r>
      <w:proofErr w:type="spellEnd"/>
      <w:r w:rsidRPr="00B31F1D">
        <w:rPr>
          <w:color w:val="auto"/>
          <w:sz w:val="22"/>
          <w:szCs w:val="22"/>
        </w:rPr>
        <w:t xml:space="preserve"> and </w:t>
      </w:r>
      <w:proofErr w:type="spellStart"/>
      <w:r w:rsidRPr="00B31F1D">
        <w:rPr>
          <w:color w:val="auto"/>
          <w:sz w:val="22"/>
          <w:szCs w:val="22"/>
        </w:rPr>
        <w:t>Goraguntepalya</w:t>
      </w:r>
      <w:proofErr w:type="spellEnd"/>
      <w:r w:rsidRPr="00B31F1D">
        <w:rPr>
          <w:color w:val="auto"/>
          <w:sz w:val="22"/>
          <w:szCs w:val="22"/>
        </w:rPr>
        <w:t xml:space="preserve"> in Bengaluru, as well as Hubballi), focusing on skill training, official registration, and providing personal protective equipment (PPE) to informal workers.</w:t>
      </w:r>
    </w:p>
    <w:p w14:paraId="530BF169" w14:textId="210038F8" w:rsidR="00B31F1D" w:rsidRPr="00B31F1D" w:rsidRDefault="00B31F1D" w:rsidP="00B31F1D">
      <w:pPr>
        <w:pStyle w:val="Heading1"/>
        <w:numPr>
          <w:ilvl w:val="0"/>
          <w:numId w:val="3"/>
        </w:numPr>
        <w:spacing w:before="300" w:after="150"/>
        <w:rPr>
          <w:color w:val="auto"/>
          <w:sz w:val="22"/>
          <w:szCs w:val="22"/>
        </w:rPr>
      </w:pPr>
      <w:r w:rsidRPr="00B31F1D">
        <w:rPr>
          <w:b/>
          <w:bCs/>
          <w:color w:val="auto"/>
          <w:sz w:val="22"/>
          <w:szCs w:val="22"/>
        </w:rPr>
        <w:t>Plug Collection-to-Processing Leakage:</w:t>
      </w:r>
      <w:r w:rsidRPr="00B31F1D">
        <w:rPr>
          <w:color w:val="auto"/>
          <w:sz w:val="22"/>
          <w:szCs w:val="22"/>
        </w:rPr>
        <w:t xml:space="preserve"> Strengthen material tracking from bulk consumers and municipal collection points to authorized units through digital tracking on the CPCB EPR portal and KEONICS Eco </w:t>
      </w:r>
      <w:proofErr w:type="spellStart"/>
      <w:r w:rsidRPr="00B31F1D">
        <w:rPr>
          <w:color w:val="auto"/>
          <w:sz w:val="22"/>
          <w:szCs w:val="22"/>
        </w:rPr>
        <w:t>eMarket</w:t>
      </w:r>
      <w:proofErr w:type="spellEnd"/>
      <w:r w:rsidRPr="00B31F1D">
        <w:rPr>
          <w:color w:val="auto"/>
          <w:sz w:val="22"/>
          <w:szCs w:val="22"/>
        </w:rPr>
        <w:t xml:space="preserve"> platform to ensure collected e-waste reaches formal recyclers.</w:t>
      </w:r>
    </w:p>
    <w:p w14:paraId="0C393006" w14:textId="209633C6" w:rsidR="00B31F1D" w:rsidRPr="00B31F1D" w:rsidRDefault="00B31F1D" w:rsidP="00B31F1D">
      <w:pPr>
        <w:pStyle w:val="Heading1"/>
        <w:numPr>
          <w:ilvl w:val="0"/>
          <w:numId w:val="3"/>
        </w:numPr>
        <w:spacing w:before="300" w:after="150"/>
        <w:rPr>
          <w:color w:val="auto"/>
          <w:sz w:val="22"/>
          <w:szCs w:val="22"/>
        </w:rPr>
      </w:pPr>
      <w:r w:rsidRPr="00B31F1D">
        <w:rPr>
          <w:b/>
          <w:bCs/>
          <w:color w:val="auto"/>
          <w:sz w:val="22"/>
          <w:szCs w:val="22"/>
        </w:rPr>
        <w:t>Remediate Contaminated Hotspots:</w:t>
      </w:r>
      <w:r w:rsidRPr="00B31F1D">
        <w:rPr>
          <w:color w:val="auto"/>
          <w:sz w:val="22"/>
          <w:szCs w:val="22"/>
        </w:rPr>
        <w:t xml:space="preserve"> Initiate targeted soil and groundwater remediation protocols at unorganized dismantling clusters where heavy metal contamination (such as lead and cadmium) exceeds safe environmental thresholds.</w:t>
      </w:r>
    </w:p>
    <w:p w14:paraId="08F418B8" w14:textId="3D4CF6D1" w:rsidR="00B31F1D" w:rsidRPr="00B31F1D" w:rsidRDefault="00B31F1D" w:rsidP="00B31F1D">
      <w:pPr>
        <w:pStyle w:val="Heading1"/>
        <w:numPr>
          <w:ilvl w:val="0"/>
          <w:numId w:val="3"/>
        </w:numPr>
        <w:spacing w:before="300" w:after="150"/>
        <w:rPr>
          <w:color w:val="auto"/>
          <w:sz w:val="22"/>
          <w:szCs w:val="22"/>
        </w:rPr>
      </w:pPr>
      <w:r w:rsidRPr="00B31F1D">
        <w:rPr>
          <w:b/>
          <w:bCs/>
          <w:color w:val="auto"/>
          <w:sz w:val="22"/>
          <w:szCs w:val="22"/>
        </w:rPr>
        <w:t>Enforce EPR Compliance and Resolve Pending Cases:</w:t>
      </w:r>
      <w:r w:rsidRPr="00B31F1D">
        <w:rPr>
          <w:color w:val="auto"/>
          <w:sz w:val="22"/>
          <w:szCs w:val="22"/>
        </w:rPr>
        <w:t xml:space="preserve"> Expedite the resolution of pending show-cause notices and penalty proceedings against non-compliant producers, while publishing a quarterly state-level EPR compliance tracking dashboard.</w:t>
      </w:r>
    </w:p>
    <w:p w14:paraId="176509B6" w14:textId="4CA57921" w:rsidR="00B31F1D" w:rsidRPr="00B31F1D" w:rsidRDefault="00B31F1D" w:rsidP="00B31F1D">
      <w:pPr>
        <w:pStyle w:val="Heading1"/>
        <w:numPr>
          <w:ilvl w:val="0"/>
          <w:numId w:val="3"/>
        </w:numPr>
        <w:spacing w:before="300" w:after="150"/>
        <w:rPr>
          <w:color w:val="auto"/>
          <w:sz w:val="22"/>
          <w:szCs w:val="22"/>
        </w:rPr>
      </w:pPr>
      <w:r w:rsidRPr="00B31F1D">
        <w:rPr>
          <w:b/>
          <w:bCs/>
          <w:color w:val="auto"/>
          <w:sz w:val="22"/>
          <w:szCs w:val="22"/>
        </w:rPr>
        <w:t>Scale Awareness and Collection Drives:</w:t>
      </w:r>
      <w:r w:rsidRPr="00B31F1D">
        <w:rPr>
          <w:color w:val="auto"/>
          <w:sz w:val="22"/>
          <w:szCs w:val="22"/>
        </w:rPr>
        <w:t xml:space="preserve"> Expand educational campaigns and mobile collection drives into rural and semi-urban districts in partnership with Zilla Panchayats and educational institutions to double participation reach beyond major IT hubs.</w:t>
      </w:r>
    </w:p>
    <w:p w14:paraId="44163B24" w14:textId="77777777" w:rsidR="00490A4F" w:rsidRDefault="00000000">
      <w:pPr>
        <w:pStyle w:val="Heading1"/>
        <w:spacing w:before="300" w:after="150"/>
      </w:pPr>
      <w:r>
        <w:t>7. District Snapshot (Top 8 by Population)</w:t>
      </w:r>
    </w:p>
    <w:p w14:paraId="5447C3D7" w14:textId="77777777" w:rsidR="00B31F1D" w:rsidRDefault="00000000">
      <w:pPr>
        <w:spacing w:after="160"/>
      </w:pPr>
      <w:r>
        <w:t xml:space="preserve">Illustrative generation estimates for the eight most populous districts, derived from a state-average per-capita generation assumption. Full </w:t>
      </w:r>
      <w:r w:rsidR="00B31F1D">
        <w:t>31</w:t>
      </w:r>
      <w:r>
        <w:t>-district data is available in the accompanying Excel workbook.</w:t>
      </w:r>
      <w:r w:rsidR="00B31F1D">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1354"/>
        <w:gridCol w:w="3135"/>
      </w:tblGrid>
      <w:tr w:rsidR="00B31F1D" w:rsidRPr="00B31F1D" w14:paraId="2F22C1E1" w14:textId="77777777" w:rsidTr="00B31F1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47644D" w14:textId="77777777" w:rsidR="00B31F1D" w:rsidRPr="00B31F1D" w:rsidRDefault="00B31F1D" w:rsidP="00B31F1D">
            <w:pPr>
              <w:spacing w:after="160"/>
            </w:pPr>
            <w:r w:rsidRPr="00B31F1D">
              <w:rPr>
                <w:b/>
                <w:bCs/>
              </w:rPr>
              <w:t>District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DFA168" w14:textId="77777777" w:rsidR="00B31F1D" w:rsidRPr="00B31F1D" w:rsidRDefault="00B31F1D" w:rsidP="00B31F1D">
            <w:pPr>
              <w:spacing w:after="160"/>
            </w:pPr>
            <w:r w:rsidRPr="00B31F1D">
              <w:rPr>
                <w:b/>
                <w:bCs/>
              </w:rPr>
              <w:t>Population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3FFEE8" w14:textId="77777777" w:rsidR="00B31F1D" w:rsidRPr="00B31F1D" w:rsidRDefault="00B31F1D" w:rsidP="00B31F1D">
            <w:pPr>
              <w:spacing w:after="160"/>
            </w:pPr>
            <w:r w:rsidRPr="00B31F1D">
              <w:rPr>
                <w:b/>
                <w:bCs/>
              </w:rPr>
              <w:t>Est. E-Waste Generated (kg/</w:t>
            </w:r>
            <w:proofErr w:type="spellStart"/>
            <w:r w:rsidRPr="00B31F1D">
              <w:rPr>
                <w:b/>
                <w:bCs/>
              </w:rPr>
              <w:t>yr</w:t>
            </w:r>
            <w:proofErr w:type="spellEnd"/>
            <w:r w:rsidRPr="00B31F1D">
              <w:rPr>
                <w:b/>
                <w:bCs/>
              </w:rPr>
              <w:t>)</w:t>
            </w:r>
          </w:p>
        </w:tc>
      </w:tr>
      <w:tr w:rsidR="00B31F1D" w:rsidRPr="00B31F1D" w14:paraId="4BD88D60" w14:textId="77777777" w:rsidTr="00B31F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4A609" w14:textId="77777777" w:rsidR="00B31F1D" w:rsidRPr="00B31F1D" w:rsidRDefault="00B31F1D" w:rsidP="00B31F1D">
            <w:pPr>
              <w:spacing w:after="160"/>
            </w:pPr>
            <w:r w:rsidRPr="00B31F1D">
              <w:t>Bengaluru Urban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2842F" w14:textId="77777777" w:rsidR="00B31F1D" w:rsidRPr="00B31F1D" w:rsidRDefault="00B31F1D" w:rsidP="00B31F1D">
            <w:pPr>
              <w:spacing w:after="160"/>
            </w:pPr>
            <w:r w:rsidRPr="00B31F1D">
              <w:t>11,350,000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5BB8B" w14:textId="77777777" w:rsidR="00B31F1D" w:rsidRPr="00B31F1D" w:rsidRDefault="00B31F1D" w:rsidP="00B31F1D">
            <w:pPr>
              <w:spacing w:after="160"/>
            </w:pPr>
            <w:r w:rsidRPr="00B31F1D">
              <w:t>48,805,000</w:t>
            </w:r>
          </w:p>
        </w:tc>
      </w:tr>
      <w:tr w:rsidR="00B31F1D" w:rsidRPr="00B31F1D" w14:paraId="15672A51" w14:textId="77777777" w:rsidTr="00B31F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47976" w14:textId="77777777" w:rsidR="00B31F1D" w:rsidRPr="00B31F1D" w:rsidRDefault="00B31F1D" w:rsidP="00B31F1D">
            <w:pPr>
              <w:spacing w:after="160"/>
            </w:pPr>
            <w:r w:rsidRPr="00B31F1D">
              <w:t>Mysuru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478B0" w14:textId="77777777" w:rsidR="00B31F1D" w:rsidRPr="00B31F1D" w:rsidRDefault="00B31F1D" w:rsidP="00B31F1D">
            <w:pPr>
              <w:spacing w:after="160"/>
            </w:pPr>
            <w:r w:rsidRPr="00B31F1D">
              <w:t>3,200,000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B6C318" w14:textId="77777777" w:rsidR="00B31F1D" w:rsidRPr="00B31F1D" w:rsidRDefault="00B31F1D" w:rsidP="00B31F1D">
            <w:pPr>
              <w:spacing w:after="160"/>
            </w:pPr>
            <w:r w:rsidRPr="00B31F1D">
              <w:t>5,760,000</w:t>
            </w:r>
          </w:p>
        </w:tc>
      </w:tr>
      <w:tr w:rsidR="00B31F1D" w:rsidRPr="00B31F1D" w14:paraId="3DA114A6" w14:textId="77777777" w:rsidTr="00B31F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CF1A8D" w14:textId="77777777" w:rsidR="00B31F1D" w:rsidRPr="00B31F1D" w:rsidRDefault="00B31F1D" w:rsidP="00B31F1D">
            <w:pPr>
              <w:spacing w:after="160"/>
            </w:pPr>
            <w:r w:rsidRPr="00B31F1D">
              <w:t>Belagavi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A64BE" w14:textId="77777777" w:rsidR="00B31F1D" w:rsidRPr="00B31F1D" w:rsidRDefault="00B31F1D" w:rsidP="00B31F1D">
            <w:pPr>
              <w:spacing w:after="160"/>
            </w:pPr>
            <w:r w:rsidRPr="00B31F1D">
              <w:t>5,080,000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7BED6" w14:textId="77777777" w:rsidR="00B31F1D" w:rsidRPr="00B31F1D" w:rsidRDefault="00B31F1D" w:rsidP="00B31F1D">
            <w:pPr>
              <w:spacing w:after="160"/>
            </w:pPr>
            <w:r w:rsidRPr="00B31F1D">
              <w:t>5,080,000</w:t>
            </w:r>
          </w:p>
        </w:tc>
      </w:tr>
      <w:tr w:rsidR="00B31F1D" w:rsidRPr="00B31F1D" w14:paraId="45163508" w14:textId="77777777" w:rsidTr="00B31F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1F646" w14:textId="77777777" w:rsidR="00B31F1D" w:rsidRPr="00B31F1D" w:rsidRDefault="00B31F1D" w:rsidP="00B31F1D">
            <w:pPr>
              <w:spacing w:after="160"/>
            </w:pPr>
            <w:r w:rsidRPr="00B31F1D">
              <w:t>Dharwad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1D0B1" w14:textId="77777777" w:rsidR="00B31F1D" w:rsidRPr="00B31F1D" w:rsidRDefault="00B31F1D" w:rsidP="00B31F1D">
            <w:pPr>
              <w:spacing w:after="160"/>
            </w:pPr>
            <w:r w:rsidRPr="00B31F1D">
              <w:t>1,950,000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5FFA67" w14:textId="77777777" w:rsidR="00B31F1D" w:rsidRPr="00B31F1D" w:rsidRDefault="00B31F1D" w:rsidP="00B31F1D">
            <w:pPr>
              <w:spacing w:after="160"/>
            </w:pPr>
            <w:r w:rsidRPr="00B31F1D">
              <w:t>3,510,000</w:t>
            </w:r>
          </w:p>
        </w:tc>
      </w:tr>
      <w:tr w:rsidR="00B31F1D" w:rsidRPr="00B31F1D" w14:paraId="0DBC6464" w14:textId="77777777" w:rsidTr="00B31F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D5828" w14:textId="77777777" w:rsidR="00B31F1D" w:rsidRPr="00B31F1D" w:rsidRDefault="00B31F1D" w:rsidP="00B31F1D">
            <w:pPr>
              <w:spacing w:after="160"/>
            </w:pPr>
            <w:r w:rsidRPr="00B31F1D">
              <w:t>Dakshina Kannada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2BF815" w14:textId="77777777" w:rsidR="00B31F1D" w:rsidRPr="00B31F1D" w:rsidRDefault="00B31F1D" w:rsidP="00B31F1D">
            <w:pPr>
              <w:spacing w:after="160"/>
            </w:pPr>
            <w:r w:rsidRPr="00B31F1D">
              <w:t>2,180,000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919B7" w14:textId="77777777" w:rsidR="00B31F1D" w:rsidRPr="00B31F1D" w:rsidRDefault="00B31F1D" w:rsidP="00B31F1D">
            <w:pPr>
              <w:spacing w:after="160"/>
            </w:pPr>
            <w:r w:rsidRPr="00B31F1D">
              <w:t>3,488,000</w:t>
            </w:r>
          </w:p>
        </w:tc>
      </w:tr>
      <w:tr w:rsidR="00B31F1D" w:rsidRPr="00B31F1D" w14:paraId="051EA64C" w14:textId="77777777" w:rsidTr="00B31F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3FAD1" w14:textId="77777777" w:rsidR="00B31F1D" w:rsidRPr="00B31F1D" w:rsidRDefault="00B31F1D" w:rsidP="00B31F1D">
            <w:pPr>
              <w:spacing w:after="160"/>
            </w:pPr>
            <w:proofErr w:type="spellStart"/>
            <w:r w:rsidRPr="00B31F1D">
              <w:t>Tumakuru</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9D708" w14:textId="77777777" w:rsidR="00B31F1D" w:rsidRPr="00B31F1D" w:rsidRDefault="00B31F1D" w:rsidP="00B31F1D">
            <w:pPr>
              <w:spacing w:after="160"/>
            </w:pPr>
            <w:r w:rsidRPr="00B31F1D">
              <w:t>2,750,000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DAFCBC" w14:textId="77777777" w:rsidR="00B31F1D" w:rsidRPr="00B31F1D" w:rsidRDefault="00B31F1D" w:rsidP="00B31F1D">
            <w:pPr>
              <w:spacing w:after="160"/>
            </w:pPr>
            <w:r w:rsidRPr="00B31F1D">
              <w:t>3,300,000</w:t>
            </w:r>
          </w:p>
        </w:tc>
      </w:tr>
      <w:tr w:rsidR="00B31F1D" w:rsidRPr="00B31F1D" w14:paraId="2FF80088" w14:textId="77777777" w:rsidTr="00B31F1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E579A" w14:textId="77777777" w:rsidR="00B31F1D" w:rsidRPr="00B31F1D" w:rsidRDefault="00B31F1D" w:rsidP="00B31F1D">
            <w:pPr>
              <w:spacing w:after="160"/>
            </w:pPr>
            <w:r w:rsidRPr="00B31F1D">
              <w:t>Kalaburagi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D365F2" w14:textId="77777777" w:rsidR="00B31F1D" w:rsidRPr="00B31F1D" w:rsidRDefault="00B31F1D" w:rsidP="00B31F1D">
            <w:pPr>
              <w:spacing w:after="160"/>
            </w:pPr>
            <w:r w:rsidRPr="00B31F1D">
              <w:t>2,600,000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FAB4D4" w14:textId="77777777" w:rsidR="00B31F1D" w:rsidRPr="00B31F1D" w:rsidRDefault="00B31F1D" w:rsidP="00B31F1D">
            <w:pPr>
              <w:spacing w:after="160"/>
            </w:pPr>
            <w:r w:rsidRPr="00B31F1D">
              <w:t>3,120,000</w:t>
            </w:r>
          </w:p>
        </w:tc>
      </w:tr>
    </w:tbl>
    <w:p w14:paraId="23E7A2D4" w14:textId="7DD44AD5" w:rsidR="00490A4F" w:rsidRDefault="00490A4F">
      <w:pPr>
        <w:spacing w:after="160"/>
      </w:pPr>
    </w:p>
    <w:p w14:paraId="177D3F26" w14:textId="77777777" w:rsidR="00490A4F" w:rsidRDefault="00000000">
      <w:pPr>
        <w:pStyle w:val="Heading1"/>
        <w:spacing w:before="300" w:after="150"/>
      </w:pPr>
      <w:r>
        <w:t>8. Data Note &amp; Next Steps</w:t>
      </w:r>
    </w:p>
    <w:p w14:paraId="14F557D1" w14:textId="60CE7DF8" w:rsidR="00B31F1D" w:rsidRPr="00B31F1D" w:rsidRDefault="00B31F1D" w:rsidP="00B31F1D">
      <w:pPr>
        <w:spacing w:after="160"/>
      </w:pPr>
      <w:r w:rsidRPr="00B31F1D">
        <w:t>This report and its accompanying Excel scorecard use illustrative data generated for template/demonstration purposes, following the same structure and scoring methodology as the reference state example. To produce an authoritative Karnataka scorecard, the seven data sheets should be repopulated with verified figures from the Karnataka State Pollution Control Board (KSPCB), the CPCB EPR portal, KSPCB-authorized recycler records, KEONICS aggregation logs, and district administration reports. Once real data is entered, the '0_Scorecard' sheet will recalculate automatically without any changes to its formulas.</w:t>
      </w:r>
    </w:p>
    <w:p w14:paraId="2336AD71" w14:textId="77777777" w:rsidR="00B31F1D" w:rsidRPr="00B31F1D" w:rsidRDefault="00B31F1D" w:rsidP="00B31F1D">
      <w:pPr>
        <w:spacing w:after="160"/>
      </w:pPr>
      <w:r w:rsidRPr="00B31F1D">
        <w:t>For the website dashboard analysis component, the same seven category structure and KPIs (collection rate, formal recycling rate, EPR compliance rate, informal-sector formalization rate, environmental safeguard coverage, and awareness reach) can be used as the basis for dashboard visualizations.</w:t>
      </w:r>
    </w:p>
    <w:p w14:paraId="1821A6DD" w14:textId="03A88A97" w:rsidR="00490A4F" w:rsidRDefault="00490A4F" w:rsidP="00B31F1D">
      <w:pPr>
        <w:spacing w:after="160"/>
      </w:pPr>
    </w:p>
    <w:sectPr w:rsidR="00490A4F">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9F6965" w14:textId="77777777" w:rsidR="0049781F" w:rsidRDefault="0049781F">
      <w:r>
        <w:separator/>
      </w:r>
    </w:p>
  </w:endnote>
  <w:endnote w:type="continuationSeparator" w:id="0">
    <w:p w14:paraId="71B665E0" w14:textId="77777777" w:rsidR="0049781F" w:rsidRDefault="00497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11DB35" w14:textId="77777777" w:rsidR="00490A4F"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D93BE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93BEA">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1F36EF1" w14:textId="77777777" w:rsidR="0049781F" w:rsidRDefault="0049781F">
      <w:r>
        <w:separator/>
      </w:r>
    </w:p>
  </w:footnote>
  <w:footnote w:type="continuationSeparator" w:id="0">
    <w:p w14:paraId="1E2F9D52" w14:textId="77777777" w:rsidR="0049781F" w:rsidRDefault="004978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7E0520" w14:textId="3A3A3984" w:rsidR="00490A4F" w:rsidRDefault="00D93BEA">
    <w:pPr>
      <w:jc w:val="right"/>
    </w:pPr>
    <w:r>
      <w:rPr>
        <w:color w:val="595959"/>
        <w:sz w:val="16"/>
        <w:szCs w:val="16"/>
      </w:rPr>
      <w:t>Karnataka</w:t>
    </w:r>
    <w:r w:rsidR="00000000">
      <w:rPr>
        <w:color w:val="595959"/>
        <w:sz w:val="16"/>
        <w:szCs w:val="16"/>
      </w:rPr>
      <w:t xml:space="preserve"> State E-Waste Management Scorecard -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E95E08"/>
    <w:multiLevelType w:val="hybridMultilevel"/>
    <w:tmpl w:val="2B84F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FC5FCD"/>
    <w:multiLevelType w:val="hybridMultilevel"/>
    <w:tmpl w:val="E990E3CE"/>
    <w:lvl w:ilvl="0" w:tplc="039A7786">
      <w:start w:val="1"/>
      <w:numFmt w:val="bullet"/>
      <w:lvlText w:val="●"/>
      <w:lvlJc w:val="left"/>
      <w:pPr>
        <w:ind w:left="720" w:hanging="360"/>
      </w:pPr>
    </w:lvl>
    <w:lvl w:ilvl="1" w:tplc="C22C86AA">
      <w:start w:val="1"/>
      <w:numFmt w:val="bullet"/>
      <w:lvlText w:val="○"/>
      <w:lvlJc w:val="left"/>
      <w:pPr>
        <w:ind w:left="1440" w:hanging="360"/>
      </w:pPr>
    </w:lvl>
    <w:lvl w:ilvl="2" w:tplc="BBECC7D4">
      <w:start w:val="1"/>
      <w:numFmt w:val="bullet"/>
      <w:lvlText w:val="■"/>
      <w:lvlJc w:val="left"/>
      <w:pPr>
        <w:ind w:left="2160" w:hanging="360"/>
      </w:pPr>
    </w:lvl>
    <w:lvl w:ilvl="3" w:tplc="8592CB8A">
      <w:start w:val="1"/>
      <w:numFmt w:val="bullet"/>
      <w:lvlText w:val="●"/>
      <w:lvlJc w:val="left"/>
      <w:pPr>
        <w:ind w:left="2880" w:hanging="360"/>
      </w:pPr>
    </w:lvl>
    <w:lvl w:ilvl="4" w:tplc="0A409C00">
      <w:start w:val="1"/>
      <w:numFmt w:val="bullet"/>
      <w:lvlText w:val="○"/>
      <w:lvlJc w:val="left"/>
      <w:pPr>
        <w:ind w:left="3600" w:hanging="360"/>
      </w:pPr>
    </w:lvl>
    <w:lvl w:ilvl="5" w:tplc="25EE9682">
      <w:start w:val="1"/>
      <w:numFmt w:val="bullet"/>
      <w:lvlText w:val="■"/>
      <w:lvlJc w:val="left"/>
      <w:pPr>
        <w:ind w:left="4320" w:hanging="360"/>
      </w:pPr>
    </w:lvl>
    <w:lvl w:ilvl="6" w:tplc="79C855F4">
      <w:start w:val="1"/>
      <w:numFmt w:val="bullet"/>
      <w:lvlText w:val="●"/>
      <w:lvlJc w:val="left"/>
      <w:pPr>
        <w:ind w:left="5040" w:hanging="360"/>
      </w:pPr>
    </w:lvl>
    <w:lvl w:ilvl="7" w:tplc="CDF607D6">
      <w:start w:val="1"/>
      <w:numFmt w:val="bullet"/>
      <w:lvlText w:val="●"/>
      <w:lvlJc w:val="left"/>
      <w:pPr>
        <w:ind w:left="5760" w:hanging="360"/>
      </w:pPr>
    </w:lvl>
    <w:lvl w:ilvl="8" w:tplc="0DCEDEC4">
      <w:start w:val="1"/>
      <w:numFmt w:val="bullet"/>
      <w:lvlText w:val="●"/>
      <w:lvlJc w:val="left"/>
      <w:pPr>
        <w:ind w:left="6480" w:hanging="360"/>
      </w:pPr>
    </w:lvl>
  </w:abstractNum>
  <w:abstractNum w:abstractNumId="2" w15:restartNumberingAfterBreak="0">
    <w:nsid w:val="3D0B0ACC"/>
    <w:multiLevelType w:val="hybridMultilevel"/>
    <w:tmpl w:val="A606B2C2"/>
    <w:lvl w:ilvl="0" w:tplc="414A261A">
      <w:start w:val="1"/>
      <w:numFmt w:val="decimal"/>
      <w:lvlText w:val="%1."/>
      <w:lvlJc w:val="left"/>
      <w:pPr>
        <w:ind w:left="450" w:hanging="260"/>
      </w:pPr>
    </w:lvl>
    <w:lvl w:ilvl="1" w:tplc="0E92798C">
      <w:numFmt w:val="decimal"/>
      <w:lvlText w:val=""/>
      <w:lvlJc w:val="left"/>
    </w:lvl>
    <w:lvl w:ilvl="2" w:tplc="619616D0">
      <w:numFmt w:val="decimal"/>
      <w:lvlText w:val=""/>
      <w:lvlJc w:val="left"/>
    </w:lvl>
    <w:lvl w:ilvl="3" w:tplc="AD7A91CE">
      <w:numFmt w:val="decimal"/>
      <w:lvlText w:val=""/>
      <w:lvlJc w:val="left"/>
    </w:lvl>
    <w:lvl w:ilvl="4" w:tplc="22AEF5AA">
      <w:numFmt w:val="decimal"/>
      <w:lvlText w:val=""/>
      <w:lvlJc w:val="left"/>
    </w:lvl>
    <w:lvl w:ilvl="5" w:tplc="1B22310E">
      <w:numFmt w:val="decimal"/>
      <w:lvlText w:val=""/>
      <w:lvlJc w:val="left"/>
    </w:lvl>
    <w:lvl w:ilvl="6" w:tplc="5C0E13B4">
      <w:numFmt w:val="decimal"/>
      <w:lvlText w:val=""/>
      <w:lvlJc w:val="left"/>
    </w:lvl>
    <w:lvl w:ilvl="7" w:tplc="4EDE22A8">
      <w:numFmt w:val="decimal"/>
      <w:lvlText w:val=""/>
      <w:lvlJc w:val="left"/>
    </w:lvl>
    <w:lvl w:ilvl="8" w:tplc="FF56458E">
      <w:numFmt w:val="decimal"/>
      <w:lvlText w:val=""/>
      <w:lvlJc w:val="left"/>
    </w:lvl>
  </w:abstractNum>
  <w:abstractNum w:abstractNumId="3" w15:restartNumberingAfterBreak="0">
    <w:nsid w:val="6D5B11C8"/>
    <w:multiLevelType w:val="multilevel"/>
    <w:tmpl w:val="AF80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69589">
    <w:abstractNumId w:val="1"/>
    <w:lvlOverride w:ilvl="0">
      <w:startOverride w:val="1"/>
    </w:lvlOverride>
  </w:num>
  <w:num w:numId="2" w16cid:durableId="1253853216">
    <w:abstractNumId w:val="2"/>
    <w:lvlOverride w:ilvl="0">
      <w:startOverride w:val="1"/>
    </w:lvlOverride>
  </w:num>
  <w:num w:numId="3" w16cid:durableId="970091930">
    <w:abstractNumId w:val="3"/>
  </w:num>
  <w:num w:numId="4" w16cid:durableId="711341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0A4F"/>
    <w:rsid w:val="00490A4F"/>
    <w:rsid w:val="0049781F"/>
    <w:rsid w:val="00B31F1D"/>
    <w:rsid w:val="00D93B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EEF7D"/>
  <w15:docId w15:val="{AE24B0EF-ED18-4874-811A-F66045140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93BEA"/>
    <w:pPr>
      <w:tabs>
        <w:tab w:val="center" w:pos="4513"/>
        <w:tab w:val="right" w:pos="9026"/>
      </w:tabs>
    </w:pPr>
  </w:style>
  <w:style w:type="character" w:customStyle="1" w:styleId="HeaderChar">
    <w:name w:val="Header Char"/>
    <w:basedOn w:val="DefaultParagraphFont"/>
    <w:link w:val="Header"/>
    <w:uiPriority w:val="99"/>
    <w:rsid w:val="00D93BEA"/>
  </w:style>
  <w:style w:type="paragraph" w:styleId="Footer">
    <w:name w:val="footer"/>
    <w:basedOn w:val="Normal"/>
    <w:link w:val="FooterChar"/>
    <w:uiPriority w:val="99"/>
    <w:unhideWhenUsed/>
    <w:rsid w:val="00D93BEA"/>
    <w:pPr>
      <w:tabs>
        <w:tab w:val="center" w:pos="4513"/>
        <w:tab w:val="right" w:pos="9026"/>
      </w:tabs>
    </w:pPr>
  </w:style>
  <w:style w:type="character" w:customStyle="1" w:styleId="FooterChar">
    <w:name w:val="Footer Char"/>
    <w:basedOn w:val="DefaultParagraphFont"/>
    <w:link w:val="Footer"/>
    <w:uiPriority w:val="99"/>
    <w:rsid w:val="00D93BEA"/>
  </w:style>
  <w:style w:type="paragraph" w:styleId="NormalWeb">
    <w:name w:val="Normal (Web)"/>
    <w:basedOn w:val="Normal"/>
    <w:uiPriority w:val="99"/>
    <w:semiHidden/>
    <w:unhideWhenUsed/>
    <w:rsid w:val="00D93BEA"/>
    <w:rPr>
      <w:sz w:val="24"/>
      <w:szCs w:val="24"/>
    </w:rPr>
  </w:style>
  <w:style w:type="character" w:styleId="Strong">
    <w:name w:val="Strong"/>
    <w:basedOn w:val="DefaultParagraphFont"/>
    <w:uiPriority w:val="22"/>
    <w:qFormat/>
    <w:rsid w:val="00D93BEA"/>
    <w:rPr>
      <w:b/>
      <w:bCs/>
    </w:rPr>
  </w:style>
  <w:style w:type="table" w:styleId="TableGrid">
    <w:name w:val="Table Grid"/>
    <w:basedOn w:val="TableNormal"/>
    <w:uiPriority w:val="39"/>
    <w:rsid w:val="00B31F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364957">
      <w:bodyDiv w:val="1"/>
      <w:marLeft w:val="0"/>
      <w:marRight w:val="0"/>
      <w:marTop w:val="0"/>
      <w:marBottom w:val="0"/>
      <w:divBdr>
        <w:top w:val="none" w:sz="0" w:space="0" w:color="auto"/>
        <w:left w:val="none" w:sz="0" w:space="0" w:color="auto"/>
        <w:bottom w:val="none" w:sz="0" w:space="0" w:color="auto"/>
        <w:right w:val="none" w:sz="0" w:space="0" w:color="auto"/>
      </w:divBdr>
      <w:divsChild>
        <w:div w:id="88619852">
          <w:marLeft w:val="0"/>
          <w:marRight w:val="0"/>
          <w:marTop w:val="0"/>
          <w:marBottom w:val="0"/>
          <w:divBdr>
            <w:top w:val="none" w:sz="0" w:space="0" w:color="auto"/>
            <w:left w:val="none" w:sz="0" w:space="0" w:color="auto"/>
            <w:bottom w:val="none" w:sz="0" w:space="0" w:color="auto"/>
            <w:right w:val="none" w:sz="0" w:space="0" w:color="auto"/>
          </w:divBdr>
          <w:divsChild>
            <w:div w:id="141970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4957">
      <w:bodyDiv w:val="1"/>
      <w:marLeft w:val="0"/>
      <w:marRight w:val="0"/>
      <w:marTop w:val="0"/>
      <w:marBottom w:val="0"/>
      <w:divBdr>
        <w:top w:val="none" w:sz="0" w:space="0" w:color="auto"/>
        <w:left w:val="none" w:sz="0" w:space="0" w:color="auto"/>
        <w:bottom w:val="none" w:sz="0" w:space="0" w:color="auto"/>
        <w:right w:val="none" w:sz="0" w:space="0" w:color="auto"/>
      </w:divBdr>
    </w:div>
    <w:div w:id="221409647">
      <w:bodyDiv w:val="1"/>
      <w:marLeft w:val="0"/>
      <w:marRight w:val="0"/>
      <w:marTop w:val="0"/>
      <w:marBottom w:val="0"/>
      <w:divBdr>
        <w:top w:val="none" w:sz="0" w:space="0" w:color="auto"/>
        <w:left w:val="none" w:sz="0" w:space="0" w:color="auto"/>
        <w:bottom w:val="none" w:sz="0" w:space="0" w:color="auto"/>
        <w:right w:val="none" w:sz="0" w:space="0" w:color="auto"/>
      </w:divBdr>
    </w:div>
    <w:div w:id="237443938">
      <w:bodyDiv w:val="1"/>
      <w:marLeft w:val="0"/>
      <w:marRight w:val="0"/>
      <w:marTop w:val="0"/>
      <w:marBottom w:val="0"/>
      <w:divBdr>
        <w:top w:val="none" w:sz="0" w:space="0" w:color="auto"/>
        <w:left w:val="none" w:sz="0" w:space="0" w:color="auto"/>
        <w:bottom w:val="none" w:sz="0" w:space="0" w:color="auto"/>
        <w:right w:val="none" w:sz="0" w:space="0" w:color="auto"/>
      </w:divBdr>
      <w:divsChild>
        <w:div w:id="520706064">
          <w:marLeft w:val="0"/>
          <w:marRight w:val="0"/>
          <w:marTop w:val="0"/>
          <w:marBottom w:val="0"/>
          <w:divBdr>
            <w:top w:val="none" w:sz="0" w:space="0" w:color="auto"/>
            <w:left w:val="none" w:sz="0" w:space="0" w:color="auto"/>
            <w:bottom w:val="none" w:sz="0" w:space="0" w:color="auto"/>
            <w:right w:val="none" w:sz="0" w:space="0" w:color="auto"/>
          </w:divBdr>
          <w:divsChild>
            <w:div w:id="71894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46002">
      <w:bodyDiv w:val="1"/>
      <w:marLeft w:val="0"/>
      <w:marRight w:val="0"/>
      <w:marTop w:val="0"/>
      <w:marBottom w:val="0"/>
      <w:divBdr>
        <w:top w:val="none" w:sz="0" w:space="0" w:color="auto"/>
        <w:left w:val="none" w:sz="0" w:space="0" w:color="auto"/>
        <w:bottom w:val="none" w:sz="0" w:space="0" w:color="auto"/>
        <w:right w:val="none" w:sz="0" w:space="0" w:color="auto"/>
      </w:divBdr>
    </w:div>
    <w:div w:id="280306331">
      <w:bodyDiv w:val="1"/>
      <w:marLeft w:val="0"/>
      <w:marRight w:val="0"/>
      <w:marTop w:val="0"/>
      <w:marBottom w:val="0"/>
      <w:divBdr>
        <w:top w:val="none" w:sz="0" w:space="0" w:color="auto"/>
        <w:left w:val="none" w:sz="0" w:space="0" w:color="auto"/>
        <w:bottom w:val="none" w:sz="0" w:space="0" w:color="auto"/>
        <w:right w:val="none" w:sz="0" w:space="0" w:color="auto"/>
      </w:divBdr>
    </w:div>
    <w:div w:id="388765027">
      <w:bodyDiv w:val="1"/>
      <w:marLeft w:val="0"/>
      <w:marRight w:val="0"/>
      <w:marTop w:val="0"/>
      <w:marBottom w:val="0"/>
      <w:divBdr>
        <w:top w:val="none" w:sz="0" w:space="0" w:color="auto"/>
        <w:left w:val="none" w:sz="0" w:space="0" w:color="auto"/>
        <w:bottom w:val="none" w:sz="0" w:space="0" w:color="auto"/>
        <w:right w:val="none" w:sz="0" w:space="0" w:color="auto"/>
      </w:divBdr>
    </w:div>
    <w:div w:id="1271622580">
      <w:bodyDiv w:val="1"/>
      <w:marLeft w:val="0"/>
      <w:marRight w:val="0"/>
      <w:marTop w:val="0"/>
      <w:marBottom w:val="0"/>
      <w:divBdr>
        <w:top w:val="none" w:sz="0" w:space="0" w:color="auto"/>
        <w:left w:val="none" w:sz="0" w:space="0" w:color="auto"/>
        <w:bottom w:val="none" w:sz="0" w:space="0" w:color="auto"/>
        <w:right w:val="none" w:sz="0" w:space="0" w:color="auto"/>
      </w:divBdr>
    </w:div>
    <w:div w:id="1366760178">
      <w:bodyDiv w:val="1"/>
      <w:marLeft w:val="0"/>
      <w:marRight w:val="0"/>
      <w:marTop w:val="0"/>
      <w:marBottom w:val="0"/>
      <w:divBdr>
        <w:top w:val="none" w:sz="0" w:space="0" w:color="auto"/>
        <w:left w:val="none" w:sz="0" w:space="0" w:color="auto"/>
        <w:bottom w:val="none" w:sz="0" w:space="0" w:color="auto"/>
        <w:right w:val="none" w:sz="0" w:space="0" w:color="auto"/>
      </w:divBdr>
    </w:div>
    <w:div w:id="1495802605">
      <w:bodyDiv w:val="1"/>
      <w:marLeft w:val="0"/>
      <w:marRight w:val="0"/>
      <w:marTop w:val="0"/>
      <w:marBottom w:val="0"/>
      <w:divBdr>
        <w:top w:val="none" w:sz="0" w:space="0" w:color="auto"/>
        <w:left w:val="none" w:sz="0" w:space="0" w:color="auto"/>
        <w:bottom w:val="none" w:sz="0" w:space="0" w:color="auto"/>
        <w:right w:val="none" w:sz="0" w:space="0" w:color="auto"/>
      </w:divBdr>
    </w:div>
    <w:div w:id="1754155585">
      <w:bodyDiv w:val="1"/>
      <w:marLeft w:val="0"/>
      <w:marRight w:val="0"/>
      <w:marTop w:val="0"/>
      <w:marBottom w:val="0"/>
      <w:divBdr>
        <w:top w:val="none" w:sz="0" w:space="0" w:color="auto"/>
        <w:left w:val="none" w:sz="0" w:space="0" w:color="auto"/>
        <w:bottom w:val="none" w:sz="0" w:space="0" w:color="auto"/>
        <w:right w:val="none" w:sz="0" w:space="0" w:color="auto"/>
      </w:divBdr>
      <w:divsChild>
        <w:div w:id="502746270">
          <w:marLeft w:val="0"/>
          <w:marRight w:val="0"/>
          <w:marTop w:val="0"/>
          <w:marBottom w:val="0"/>
          <w:divBdr>
            <w:top w:val="none" w:sz="0" w:space="0" w:color="auto"/>
            <w:left w:val="none" w:sz="0" w:space="0" w:color="auto"/>
            <w:bottom w:val="none" w:sz="0" w:space="0" w:color="auto"/>
            <w:right w:val="none" w:sz="0" w:space="0" w:color="auto"/>
          </w:divBdr>
          <w:divsChild>
            <w:div w:id="144122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4523">
      <w:bodyDiv w:val="1"/>
      <w:marLeft w:val="0"/>
      <w:marRight w:val="0"/>
      <w:marTop w:val="0"/>
      <w:marBottom w:val="0"/>
      <w:divBdr>
        <w:top w:val="none" w:sz="0" w:space="0" w:color="auto"/>
        <w:left w:val="none" w:sz="0" w:space="0" w:color="auto"/>
        <w:bottom w:val="none" w:sz="0" w:space="0" w:color="auto"/>
        <w:right w:val="none" w:sz="0" w:space="0" w:color="auto"/>
      </w:divBdr>
    </w:div>
    <w:div w:id="1806459509">
      <w:bodyDiv w:val="1"/>
      <w:marLeft w:val="0"/>
      <w:marRight w:val="0"/>
      <w:marTop w:val="0"/>
      <w:marBottom w:val="0"/>
      <w:divBdr>
        <w:top w:val="none" w:sz="0" w:space="0" w:color="auto"/>
        <w:left w:val="none" w:sz="0" w:space="0" w:color="auto"/>
        <w:bottom w:val="none" w:sz="0" w:space="0" w:color="auto"/>
        <w:right w:val="none" w:sz="0" w:space="0" w:color="auto"/>
      </w:divBdr>
    </w:div>
    <w:div w:id="1843936264">
      <w:bodyDiv w:val="1"/>
      <w:marLeft w:val="0"/>
      <w:marRight w:val="0"/>
      <w:marTop w:val="0"/>
      <w:marBottom w:val="0"/>
      <w:divBdr>
        <w:top w:val="none" w:sz="0" w:space="0" w:color="auto"/>
        <w:left w:val="none" w:sz="0" w:space="0" w:color="auto"/>
        <w:bottom w:val="none" w:sz="0" w:space="0" w:color="auto"/>
        <w:right w:val="none" w:sz="0" w:space="0" w:color="auto"/>
      </w:divBdr>
      <w:divsChild>
        <w:div w:id="918442311">
          <w:marLeft w:val="0"/>
          <w:marRight w:val="0"/>
          <w:marTop w:val="0"/>
          <w:marBottom w:val="0"/>
          <w:divBdr>
            <w:top w:val="none" w:sz="0" w:space="0" w:color="auto"/>
            <w:left w:val="none" w:sz="0" w:space="0" w:color="auto"/>
            <w:bottom w:val="none" w:sz="0" w:space="0" w:color="auto"/>
            <w:right w:val="none" w:sz="0" w:space="0" w:color="auto"/>
          </w:divBdr>
          <w:divsChild>
            <w:div w:id="2761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23285">
      <w:bodyDiv w:val="1"/>
      <w:marLeft w:val="0"/>
      <w:marRight w:val="0"/>
      <w:marTop w:val="0"/>
      <w:marBottom w:val="0"/>
      <w:divBdr>
        <w:top w:val="none" w:sz="0" w:space="0" w:color="auto"/>
        <w:left w:val="none" w:sz="0" w:space="0" w:color="auto"/>
        <w:bottom w:val="none" w:sz="0" w:space="0" w:color="auto"/>
        <w:right w:val="none" w:sz="0" w:space="0" w:color="auto"/>
      </w:divBdr>
    </w:div>
    <w:div w:id="1888029145">
      <w:bodyDiv w:val="1"/>
      <w:marLeft w:val="0"/>
      <w:marRight w:val="0"/>
      <w:marTop w:val="0"/>
      <w:marBottom w:val="0"/>
      <w:divBdr>
        <w:top w:val="none" w:sz="0" w:space="0" w:color="auto"/>
        <w:left w:val="none" w:sz="0" w:space="0" w:color="auto"/>
        <w:bottom w:val="none" w:sz="0" w:space="0" w:color="auto"/>
        <w:right w:val="none" w:sz="0" w:space="0" w:color="auto"/>
      </w:divBdr>
    </w:div>
    <w:div w:id="1936205145">
      <w:bodyDiv w:val="1"/>
      <w:marLeft w:val="0"/>
      <w:marRight w:val="0"/>
      <w:marTop w:val="0"/>
      <w:marBottom w:val="0"/>
      <w:divBdr>
        <w:top w:val="none" w:sz="0" w:space="0" w:color="auto"/>
        <w:left w:val="none" w:sz="0" w:space="0" w:color="auto"/>
        <w:bottom w:val="none" w:sz="0" w:space="0" w:color="auto"/>
        <w:right w:val="none" w:sz="0" w:space="0" w:color="auto"/>
      </w:divBdr>
    </w:div>
    <w:div w:id="2044286260">
      <w:bodyDiv w:val="1"/>
      <w:marLeft w:val="0"/>
      <w:marRight w:val="0"/>
      <w:marTop w:val="0"/>
      <w:marBottom w:val="0"/>
      <w:divBdr>
        <w:top w:val="none" w:sz="0" w:space="0" w:color="auto"/>
        <w:left w:val="none" w:sz="0" w:space="0" w:color="auto"/>
        <w:bottom w:val="none" w:sz="0" w:space="0" w:color="auto"/>
        <w:right w:val="none" w:sz="0" w:space="0" w:color="auto"/>
      </w:divBdr>
    </w:div>
    <w:div w:id="2060861456">
      <w:bodyDiv w:val="1"/>
      <w:marLeft w:val="0"/>
      <w:marRight w:val="0"/>
      <w:marTop w:val="0"/>
      <w:marBottom w:val="0"/>
      <w:divBdr>
        <w:top w:val="none" w:sz="0" w:space="0" w:color="auto"/>
        <w:left w:val="none" w:sz="0" w:space="0" w:color="auto"/>
        <w:bottom w:val="none" w:sz="0" w:space="0" w:color="auto"/>
        <w:right w:val="none" w:sz="0" w:space="0" w:color="auto"/>
      </w:divBdr>
    </w:div>
    <w:div w:id="2085562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7A232B3FA31C48ADAF29702DE3C893" ma:contentTypeVersion="12" ma:contentTypeDescription="Create a new document." ma:contentTypeScope="" ma:versionID="9733aeacb51a31fd2347aff2540d3a50">
  <xsd:schema xmlns:xsd="http://www.w3.org/2001/XMLSchema" xmlns:xs="http://www.w3.org/2001/XMLSchema" xmlns:p="http://schemas.microsoft.com/office/2006/metadata/properties" xmlns:ns2="dd5b6b3d-3d39-4526-b8e4-79d21e1438f0" xmlns:ns3="44678d20-5b6e-4792-b133-ca784477d689" targetNamespace="http://schemas.microsoft.com/office/2006/metadata/properties" ma:root="true" ma:fieldsID="37926f2f1ae8b3f68e3dbd3dffff8aa9" ns2:_="" ns3:_="">
    <xsd:import namespace="dd5b6b3d-3d39-4526-b8e4-79d21e1438f0"/>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5b6b3d-3d39-4526-b8e4-79d21e1438f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e8ad495-3829-482e-ad1b-cf0f2662c940}"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5b6b3d-3d39-4526-b8e4-79d21e1438f0">
      <Terms xmlns="http://schemas.microsoft.com/office/infopath/2007/PartnerControls"/>
    </lcf76f155ced4ddcb4097134ff3c332f>
    <TaxCatchAll xmlns="44678d20-5b6e-4792-b133-ca784477d689" xsi:nil="true"/>
    <ReferenceId xmlns="dd5b6b3d-3d39-4526-b8e4-79d21e1438f0" xsi:nil="true"/>
  </documentManagement>
</p:properties>
</file>

<file path=customXml/itemProps1.xml><?xml version="1.0" encoding="utf-8"?>
<ds:datastoreItem xmlns:ds="http://schemas.openxmlformats.org/officeDocument/2006/customXml" ds:itemID="{643B5180-0F6E-4272-BF64-1F2D3F8A4959}"/>
</file>

<file path=customXml/itemProps2.xml><?xml version="1.0" encoding="utf-8"?>
<ds:datastoreItem xmlns:ds="http://schemas.openxmlformats.org/officeDocument/2006/customXml" ds:itemID="{A6F31F25-A58A-4815-B797-6056F1E95633}"/>
</file>

<file path=customXml/itemProps3.xml><?xml version="1.0" encoding="utf-8"?>
<ds:datastoreItem xmlns:ds="http://schemas.openxmlformats.org/officeDocument/2006/customXml" ds:itemID="{652D2845-D6D6-4679-9D85-D37147703377}"/>
</file>

<file path=docProps/app.xml><?xml version="1.0" encoding="utf-8"?>
<Properties xmlns="http://schemas.openxmlformats.org/officeDocument/2006/extended-properties" xmlns:vt="http://schemas.openxmlformats.org/officeDocument/2006/docPropsVTypes">
  <Template>Normal.dotm</Template>
  <TotalTime>4</TotalTime>
  <Pages>5</Pages>
  <Words>1437</Words>
  <Characters>8195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Mrudula Sakpal</cp:lastModifiedBy>
  <cp:revision>2</cp:revision>
  <dcterms:created xsi:type="dcterms:W3CDTF">2026-07-29T17:41:00Z</dcterms:created>
  <dcterms:modified xsi:type="dcterms:W3CDTF">2026-07-29T17:41:00Z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0x010100B17A232B3FA31C48ADAF29702DE3C893</vt:lpwstr>
  </property>
</Properties>
</file>