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jc w:val="center"/>
      </w:pPr>
      <w:r>
        <w:rPr>
          <w:rFonts w:ascii="Calibri" w:cs="Calibri" w:eastAsia="Calibri" w:hAnsi="Calibri"/>
          <w:b/>
          <w:bCs/>
          <w:caps/>
          <w:color w:val="FFFFFF"/>
          <w:sz w:val="18"/>
          <w:szCs w:val="18"/>
        </w:rPr>
        <w:t xml:space="preserve">DATABASE MANAGEMENT SYSTEMS — TEAM PROJECT</w:t>
      </w:r>
    </w:p>
    <w:p>
      <w:pPr>
        <w:spacing w:after="0"/>
      </w:pPr>
    </w:p>
    <w:p>
      <w:pPr>
        <w:spacing w:after="80" w:before="700"/>
        <w:jc w:val="center"/>
      </w:pPr>
      <w:r>
        <w:rPr>
          <w:rFonts w:ascii="Calibri" w:cs="Calibri" w:eastAsia="Calibri" w:hAnsi="Calibri"/>
          <w:b/>
          <w:bCs/>
          <w:color w:val="1F3864"/>
          <w:sz w:val="64"/>
          <w:szCs w:val="64"/>
        </w:rPr>
        <w:t xml:space="preserve">BANK MANAGEMENT SYSTEM</w:t>
      </w:r>
    </w:p>
    <w:p>
      <w:pPr>
        <w:spacing w:after="100"/>
        <w:jc w:val="center"/>
      </w:pPr>
      <w:r>
        <w:rPr>
          <w:rFonts w:ascii="Calibri" w:cs="Calibri" w:eastAsia="Calibri" w:hAnsi="Calibri"/>
          <w:i/>
          <w:iCs/>
          <w:color w:val="595959"/>
          <w:sz w:val="26"/>
          <w:szCs w:val="26"/>
        </w:rPr>
        <w:t xml:space="preserve">Relational Database Design &amp; Implementation in MySQL</w:t>
      </w:r>
    </w:p>
    <w:p>
      <w:pPr>
        <w:pBdr>
          <w:bottom w:val="single" w:color="B3891E" w:sz="18" w:space="1"/>
        </w:pBdr>
        <w:spacing w:after="300"/>
        <w:jc w:val="center"/>
      </w:pPr>
      <w:r>
        <w:rPr>
          <w:sz w:val="2"/>
          <w:szCs w:val="2"/>
        </w:rPr>
        <w:t xml:space="preserve"/>
      </w:r>
    </w:p>
    <w:p>
      <w:pPr>
        <w:spacing w:after="300"/>
        <w:jc w:val="center"/>
      </w:pPr>
      <w:tbl>
        <w:tblPr>
          <w:tblW w:type="dxa" w:w="9072"/>
          <w:jc w:val="center"/>
          <w:tblBorders>
            <w:top w:val="single" w:color="auto" w:sz="4"/>
            <w:left w:val="single" w:color="auto" w:sz="4"/>
            <w:bottom w:val="single" w:color="auto" w:sz="4"/>
            <w:right w:val="single" w:color="auto" w:sz="4"/>
            <w:insideH w:val="single" w:color="auto" w:sz="4"/>
            <w:insideV w:val="single" w:color="auto" w:sz="4"/>
          </w:tblBorders>
        </w:tblPr>
        <w:tblGrid>
          <w:gridCol w:w="1814"/>
          <w:gridCol w:w="1814"/>
          <w:gridCol w:w="1814"/>
          <w:gridCol w:w="1814"/>
          <w:gridCol w:w="1814"/>
        </w:tblGrid>
        <w:tr>
          <w:tc>
            <w:tcPr>
              <w:tcW w:type="dxa" w:w="2160"/>
              <w:shd w:fill="1F3864" w:val="clear"/>
              <w:tcMar>
                <w:top w:type="dxa" w:w="160"/>
                <w:left w:type="dxa" w:w="60"/>
                <w:bottom w:type="dxa" w:w="160"/>
                <w:right w:type="dxa" w:w="60"/>
              </w:tcMar>
              <w:vAlign w:val="center"/>
            </w:tcPr>
            <w:p>
              <w:pPr>
                <w:spacing w:after="40"/>
                <w:jc w:val="center"/>
              </w:pPr>
              <w:r>
                <w:rPr>
                  <w:rFonts w:ascii="Calibri" w:cs="Calibri" w:eastAsia="Calibri" w:hAnsi="Calibri"/>
                  <w:b/>
                  <w:bCs/>
                  <w:color w:val="B3891E"/>
                  <w:sz w:val="32"/>
                  <w:szCs w:val="32"/>
                </w:rPr>
                <w:t xml:space="preserve">13</w:t>
              </w:r>
            </w:p>
            <w:p>
              <w:pPr>
                <w:jc w:val="center"/>
              </w:pPr>
              <w:r>
                <w:rPr>
                  <w:rFonts w:ascii="Calibri" w:cs="Calibri" w:eastAsia="Calibri" w:hAnsi="Calibri"/>
                  <w:color w:val="FFFFFF"/>
                  <w:sz w:val="15"/>
                  <w:szCs w:val="15"/>
                </w:rPr>
                <w:t xml:space="preserve">TABLES</w:t>
              </w:r>
            </w:p>
          </w:tc>
          <w:tc>
            <w:tcPr>
              <w:tcW w:type="dxa" w:w="2160"/>
              <w:shd w:fill="1F3864" w:val="clear"/>
              <w:tcMar>
                <w:top w:type="dxa" w:w="160"/>
                <w:left w:type="dxa" w:w="60"/>
                <w:bottom w:type="dxa" w:w="160"/>
                <w:right w:type="dxa" w:w="60"/>
              </w:tcMar>
              <w:vAlign w:val="center"/>
            </w:tcPr>
            <w:p>
              <w:pPr>
                <w:spacing w:after="40"/>
                <w:jc w:val="center"/>
              </w:pPr>
              <w:r>
                <w:rPr>
                  <w:rFonts w:ascii="Calibri" w:cs="Calibri" w:eastAsia="Calibri" w:hAnsi="Calibri"/>
                  <w:b/>
                  <w:bCs/>
                  <w:color w:val="B3891E"/>
                  <w:sz w:val="32"/>
                  <w:szCs w:val="32"/>
                </w:rPr>
                <w:t xml:space="preserve">6</w:t>
              </w:r>
            </w:p>
            <w:p>
              <w:pPr>
                <w:jc w:val="center"/>
              </w:pPr>
              <w:r>
                <w:rPr>
                  <w:rFonts w:ascii="Calibri" w:cs="Calibri" w:eastAsia="Calibri" w:hAnsi="Calibri"/>
                  <w:color w:val="FFFFFF"/>
                  <w:sz w:val="15"/>
                  <w:szCs w:val="15"/>
                </w:rPr>
                <w:t xml:space="preserve">TRIGGERS</w:t>
              </w:r>
            </w:p>
          </w:tc>
          <w:tc>
            <w:tcPr>
              <w:tcW w:type="dxa" w:w="2160"/>
              <w:shd w:fill="1F3864" w:val="clear"/>
              <w:tcMar>
                <w:top w:type="dxa" w:w="160"/>
                <w:left w:type="dxa" w:w="60"/>
                <w:bottom w:type="dxa" w:w="160"/>
                <w:right w:type="dxa" w:w="60"/>
              </w:tcMar>
              <w:vAlign w:val="center"/>
            </w:tcPr>
            <w:p>
              <w:pPr>
                <w:spacing w:after="40"/>
                <w:jc w:val="center"/>
              </w:pPr>
              <w:r>
                <w:rPr>
                  <w:rFonts w:ascii="Calibri" w:cs="Calibri" w:eastAsia="Calibri" w:hAnsi="Calibri"/>
                  <w:b/>
                  <w:bCs/>
                  <w:color w:val="B3891E"/>
                  <w:sz w:val="32"/>
                  <w:szCs w:val="32"/>
                </w:rPr>
                <w:t xml:space="preserve">4</w:t>
              </w:r>
            </w:p>
            <w:p>
              <w:pPr>
                <w:jc w:val="center"/>
              </w:pPr>
              <w:r>
                <w:rPr>
                  <w:rFonts w:ascii="Calibri" w:cs="Calibri" w:eastAsia="Calibri" w:hAnsi="Calibri"/>
                  <w:color w:val="FFFFFF"/>
                  <w:sz w:val="15"/>
                  <w:szCs w:val="15"/>
                </w:rPr>
                <w:t xml:space="preserve">VIEWS</w:t>
              </w:r>
            </w:p>
          </w:tc>
          <w:tc>
            <w:tcPr>
              <w:tcW w:type="dxa" w:w="2160"/>
              <w:shd w:fill="1F3864" w:val="clear"/>
              <w:tcMar>
                <w:top w:type="dxa" w:w="160"/>
                <w:left w:type="dxa" w:w="60"/>
                <w:bottom w:type="dxa" w:w="160"/>
                <w:right w:type="dxa" w:w="60"/>
              </w:tcMar>
              <w:vAlign w:val="center"/>
            </w:tcPr>
            <w:p>
              <w:pPr>
                <w:spacing w:after="40"/>
                <w:jc w:val="center"/>
              </w:pPr>
              <w:r>
                <w:rPr>
                  <w:rFonts w:ascii="Calibri" w:cs="Calibri" w:eastAsia="Calibri" w:hAnsi="Calibri"/>
                  <w:b/>
                  <w:bCs/>
                  <w:color w:val="B3891E"/>
                  <w:sz w:val="32"/>
                  <w:szCs w:val="32"/>
                </w:rPr>
                <w:t xml:space="preserve">BCNF</w:t>
              </w:r>
            </w:p>
            <w:p>
              <w:pPr>
                <w:jc w:val="center"/>
              </w:pPr>
              <w:r>
                <w:rPr>
                  <w:rFonts w:ascii="Calibri" w:cs="Calibri" w:eastAsia="Calibri" w:hAnsi="Calibri"/>
                  <w:color w:val="FFFFFF"/>
                  <w:sz w:val="15"/>
                  <w:szCs w:val="15"/>
                </w:rPr>
                <w:t xml:space="preserve">NORMALIZED</w:t>
              </w:r>
            </w:p>
          </w:tc>
          <w:tc>
            <w:tcPr>
              <w:tcW w:type="dxa" w:w="2160"/>
              <w:shd w:fill="1F3864" w:val="clear"/>
              <w:tcMar>
                <w:top w:type="dxa" w:w="160"/>
                <w:left w:type="dxa" w:w="60"/>
                <w:bottom w:type="dxa" w:w="160"/>
                <w:right w:type="dxa" w:w="60"/>
              </w:tcMar>
              <w:vAlign w:val="center"/>
            </w:tcPr>
            <w:p>
              <w:pPr>
                <w:spacing w:after="40"/>
                <w:jc w:val="center"/>
              </w:pPr>
              <w:r>
                <w:rPr>
                  <w:rFonts w:ascii="Calibri" w:cs="Calibri" w:eastAsia="Calibri" w:hAnsi="Calibri"/>
                  <w:b/>
                  <w:bCs/>
                  <w:color w:val="B3891E"/>
                  <w:sz w:val="32"/>
                  <w:szCs w:val="32"/>
                </w:rPr>
                <w:t xml:space="preserve">25+</w:t>
              </w:r>
            </w:p>
            <w:p>
              <w:pPr>
                <w:jc w:val="center"/>
              </w:pPr>
              <w:r>
                <w:rPr>
                  <w:rFonts w:ascii="Calibri" w:cs="Calibri" w:eastAsia="Calibri" w:hAnsi="Calibri"/>
                  <w:color w:val="FFFFFF"/>
                  <w:sz w:val="15"/>
                  <w:szCs w:val="15"/>
                </w:rPr>
                <w:t xml:space="preserve">QUERIES</w:t>
              </w:r>
            </w:p>
          </w:tc>
        </w:tr>
      </w:tbl>
    </w:p>
    <w:p>
      <w:pPr>
        <w:spacing w:after="0"/>
        <w:jc w:val="center"/>
      </w:pPr>
      <w:tbl>
        <w:tblPr>
          <w:tblW w:type="dxa" w:w="7488"/>
          <w:jc w:val="center"/>
          <w:tblBorders>
            <w:top w:val="single" w:color="BFBFBF" w:sz="2"/>
            <w:left w:val="none" w:color="FFFFFF" w:sz="0"/>
            <w:bottom w:val="single" w:color="BFBFBF" w:sz="2"/>
            <w:right w:val="none" w:color="FFFFFF" w:sz="0"/>
            <w:insideH w:val="single" w:color="BFBFBF" w:sz="2"/>
            <w:insideV w:val="none" w:color="FFFFFF" w:sz="0"/>
          </w:tblBorders>
        </w:tblPr>
        <w:tblGrid>
          <w:gridCol w:w="2592"/>
          <w:gridCol w:w="4896"/>
        </w:tblGrid>
        <w:tr>
          <w:tc>
            <w:tcPr>
              <w:tcW w:type="dxa" w:w="2592"/>
              <w:tcMar>
                <w:top w:type="dxa" w:w="90"/>
                <w:left w:type="dxa" w:w="100"/>
                <w:bottom w:type="dxa" w:w="90"/>
                <w:right w:type="dxa" w:w="100"/>
              </w:tcMar>
            </w:tcPr>
            <w:p>
              <w:r>
                <w:rPr>
                  <w:rFonts w:ascii="Calibri" w:cs="Calibri" w:eastAsia="Calibri" w:hAnsi="Calibri"/>
                  <w:b/>
                  <w:bCs/>
                  <w:color w:val="1F3864"/>
                  <w:sz w:val="19"/>
                  <w:szCs w:val="19"/>
                </w:rPr>
                <w:t xml:space="preserve">Team Members</w:t>
              </w:r>
            </w:p>
          </w:tc>
          <w:tc>
            <w:tcPr>
              <w:tcW w:type="dxa" w:w="4896"/>
              <w:tcMar>
                <w:top w:type="dxa" w:w="90"/>
                <w:left w:type="dxa" w:w="100"/>
                <w:bottom w:type="dxa" w:w="90"/>
                <w:right w:type="dxa" w:w="100"/>
              </w:tcMar>
            </w:tcPr>
            <w:p>
              <w:pPr>
                <w:spacing w:after="20"/>
              </w:pPr>
              <w:r>
                <w:rPr>
                  <w:rFonts w:ascii="Calibri" w:cs="Calibri" w:eastAsia="Calibri" w:hAnsi="Calibri"/>
                  <w:sz w:val="19"/>
                  <w:szCs w:val="19"/>
                </w:rPr>
                <w:t xml:space="preserve">Samridh Mishra, Prafull Chaturvedi,</w:t>
              </w:r>
            </w:p>
            <w:p>
              <w:pPr>
                <w:spacing w:after="20"/>
              </w:pPr>
              <w:r>
                <w:rPr>
                  <w:rFonts w:ascii="Calibri" w:cs="Calibri" w:eastAsia="Calibri" w:hAnsi="Calibri"/>
                  <w:sz w:val="19"/>
                  <w:szCs w:val="19"/>
                </w:rPr>
                <w:t xml:space="preserve">Sajid Khan, Asutosh</w:t>
              </w:r>
            </w:p>
          </w:tc>
        </w:tr>
        <w:tr>
          <w:tc>
            <w:tcPr>
              <w:tcW w:type="dxa" w:w="2592"/>
              <w:tcMar>
                <w:top w:type="dxa" w:w="90"/>
                <w:left w:type="dxa" w:w="100"/>
                <w:bottom w:type="dxa" w:w="90"/>
                <w:right w:type="dxa" w:w="100"/>
              </w:tcMar>
            </w:tcPr>
            <w:p>
              <w:r>
                <w:rPr>
                  <w:rFonts w:ascii="Calibri" w:cs="Calibri" w:eastAsia="Calibri" w:hAnsi="Calibri"/>
                  <w:b/>
                  <w:bCs/>
                  <w:color w:val="1F3864"/>
                  <w:sz w:val="19"/>
                  <w:szCs w:val="19"/>
                </w:rPr>
                <w:t xml:space="preserve">University</w:t>
              </w:r>
            </w:p>
          </w:tc>
          <w:tc>
            <w:tcPr>
              <w:tcW w:type="dxa" w:w="4896"/>
              <w:tcMar>
                <w:top w:type="dxa" w:w="90"/>
                <w:left w:type="dxa" w:w="100"/>
                <w:bottom w:type="dxa" w:w="90"/>
                <w:right w:type="dxa" w:w="100"/>
              </w:tcMar>
            </w:tcPr>
            <w:p>
              <w:pPr>
                <w:spacing w:after="20"/>
              </w:pPr>
              <w:r>
                <w:rPr>
                  <w:rFonts w:ascii="Calibri" w:cs="Calibri" w:eastAsia="Calibri" w:hAnsi="Calibri"/>
                  <w:sz w:val="19"/>
                  <w:szCs w:val="19"/>
                </w:rPr>
                <w:t xml:space="preserve">VIT Bhopal University</w:t>
              </w:r>
            </w:p>
          </w:tc>
        </w:tr>
        <w:tr>
          <w:tc>
            <w:tcPr>
              <w:tcW w:type="dxa" w:w="2592"/>
              <w:tcMar>
                <w:top w:type="dxa" w:w="90"/>
                <w:left w:type="dxa" w:w="100"/>
                <w:bottom w:type="dxa" w:w="90"/>
                <w:right w:type="dxa" w:w="100"/>
              </w:tcMar>
            </w:tcPr>
            <w:p>
              <w:r>
                <w:rPr>
                  <w:rFonts w:ascii="Calibri" w:cs="Calibri" w:eastAsia="Calibri" w:hAnsi="Calibri"/>
                  <w:b/>
                  <w:bCs/>
                  <w:color w:val="1F3864"/>
                  <w:sz w:val="19"/>
                  <w:szCs w:val="19"/>
                </w:rPr>
                <w:t xml:space="preserve">Department</w:t>
              </w:r>
            </w:p>
          </w:tc>
          <w:tc>
            <w:tcPr>
              <w:tcW w:type="dxa" w:w="4896"/>
              <w:tcMar>
                <w:top w:type="dxa" w:w="90"/>
                <w:left w:type="dxa" w:w="100"/>
                <w:bottom w:type="dxa" w:w="90"/>
                <w:right w:type="dxa" w:w="100"/>
              </w:tcMar>
            </w:tcPr>
            <w:p>
              <w:pPr>
                <w:spacing w:after="20"/>
              </w:pPr>
              <w:r>
                <w:rPr>
                  <w:rFonts w:ascii="Calibri" w:cs="Calibri" w:eastAsia="Calibri" w:hAnsi="Calibri"/>
                  <w:sz w:val="19"/>
                  <w:szCs w:val="19"/>
                </w:rPr>
                <w:t xml:space="preserve">Computer Science &amp; Engineering (Core)</w:t>
              </w:r>
            </w:p>
          </w:tc>
        </w:tr>
        <w:tr>
          <w:tc>
            <w:tcPr>
              <w:tcW w:type="dxa" w:w="2592"/>
              <w:tcMar>
                <w:top w:type="dxa" w:w="90"/>
                <w:left w:type="dxa" w:w="100"/>
                <w:bottom w:type="dxa" w:w="90"/>
                <w:right w:type="dxa" w:w="100"/>
              </w:tcMar>
            </w:tcPr>
            <w:p>
              <w:r>
                <w:rPr>
                  <w:rFonts w:ascii="Calibri" w:cs="Calibri" w:eastAsia="Calibri" w:hAnsi="Calibri"/>
                  <w:b/>
                  <w:bCs/>
                  <w:color w:val="1F3864"/>
                  <w:sz w:val="19"/>
                  <w:szCs w:val="19"/>
                </w:rPr>
                <w:t xml:space="preserve">Semester / Year</w:t>
              </w:r>
            </w:p>
          </w:tc>
          <w:tc>
            <w:tcPr>
              <w:tcW w:type="dxa" w:w="4896"/>
              <w:tcMar>
                <w:top w:type="dxa" w:w="90"/>
                <w:left w:type="dxa" w:w="100"/>
                <w:bottom w:type="dxa" w:w="90"/>
                <w:right w:type="dxa" w:w="100"/>
              </w:tcMar>
            </w:tcPr>
            <w:p>
              <w:pPr>
                <w:spacing w:after="20"/>
              </w:pPr>
              <w:r>
                <w:rPr>
                  <w:rFonts w:ascii="Calibri" w:cs="Calibri" w:eastAsia="Calibri" w:hAnsi="Calibri"/>
                  <w:sz w:val="19"/>
                  <w:szCs w:val="19"/>
                </w:rPr>
                <w:t xml:space="preserve">3rd Semester, 2nd Year</w:t>
              </w:r>
            </w:p>
          </w:tc>
        </w:tr>
        <w:tr>
          <w:tc>
            <w:tcPr>
              <w:tcW w:type="dxa" w:w="2592"/>
              <w:tcMar>
                <w:top w:type="dxa" w:w="90"/>
                <w:left w:type="dxa" w:w="100"/>
                <w:bottom w:type="dxa" w:w="90"/>
                <w:right w:type="dxa" w:w="100"/>
              </w:tcMar>
            </w:tcPr>
            <w:p>
              <w:r>
                <w:rPr>
                  <w:rFonts w:ascii="Calibri" w:cs="Calibri" w:eastAsia="Calibri" w:hAnsi="Calibri"/>
                  <w:b/>
                  <w:bCs/>
                  <w:color w:val="1F3864"/>
                  <w:sz w:val="19"/>
                  <w:szCs w:val="19"/>
                </w:rPr>
                <w:t xml:space="preserve">Database Platform</w:t>
              </w:r>
            </w:p>
          </w:tc>
          <w:tc>
            <w:tcPr>
              <w:tcW w:type="dxa" w:w="4896"/>
              <w:tcMar>
                <w:top w:type="dxa" w:w="90"/>
                <w:left w:type="dxa" w:w="100"/>
                <w:bottom w:type="dxa" w:w="90"/>
                <w:right w:type="dxa" w:w="100"/>
              </w:tcMar>
            </w:tcPr>
            <w:p>
              <w:pPr>
                <w:spacing w:after="20"/>
              </w:pPr>
              <w:r>
                <w:rPr>
                  <w:rFonts w:ascii="Calibri" w:cs="Calibri" w:eastAsia="Calibri" w:hAnsi="Calibri"/>
                  <w:sz w:val="19"/>
                  <w:szCs w:val="19"/>
                </w:rPr>
                <w:t xml:space="preserve">MySQL 8.0+</w:t>
              </w:r>
            </w:p>
          </w:tc>
        </w:tr>
      </w:tbl>
    </w:p>
    <w:p>
      <w:pPr>
        <w:shd w:fill="1F3864" w:val="clear"/>
        <w:spacing w:before="500"/>
        <w:jc w:val="center"/>
      </w:pPr>
      <w:r>
        <w:rPr>
          <w:rFonts w:ascii="Calibri" w:cs="Calibri" w:eastAsia="Calibri" w:hAnsi="Calibri"/>
          <w:i/>
          <w:iCs/>
          <w:color w:val="FFFFFF"/>
          <w:sz w:val="16"/>
          <w:szCs w:val="16"/>
        </w:rPr>
        <w:t xml:space="preserve">Submitted in partial fulfilment of coursework requirements</w:t>
      </w:r>
    </w:p>
    <w:p>
      <w:pPr>
        <w:sectPr>
          <w:headerReference w:type="default" r:id="rId7"/>
          <w:headerReference w:type="first" r:id="rId8"/>
          <w:footerReference w:type="default" r:id="rId9"/>
          <w:footerReference w:type="first" r:id="rId10"/>
          <w:pgSz w:w="11906" w:h="16838" w:orient="portrait"/>
          <w:pgMar w:top="500" w:right="900" w:bottom="500" w:left="900" w:header="708" w:footer="708" w:gutter="0"/>
          <w:pgNumType/>
          <w:titlePg/>
          <w:docGrid w:linePitch="360"/>
        </w:sectPr>
      </w:pPr>
    </w:p>
    <w:p>
      <w:pPr>
        <w:pStyle w:val="Heading1"/>
        <w:pBdr>
          <w:bottom w:val="single" w:color="B3891E" w:sz="12"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3891E" w:sz="12" w:space="4"/>
        </w:pBdr>
        <w:spacing w:after="200" w:before="400"/>
      </w:pPr>
      <w:r>
        <w:rPr>
          <w:rFonts w:ascii="Calibri" w:cs="Calibri" w:eastAsia="Calibri" w:hAnsi="Calibri"/>
          <w:b/>
          <w:bCs/>
          <w:color w:val="1F3864"/>
          <w:sz w:val="30"/>
          <w:szCs w:val="30"/>
        </w:rPr>
        <w:t xml:space="preserve">1. Abstract</w:t>
      </w:r>
    </w:p>
    <w:p>
      <w:pPr>
        <w:spacing w:after="160" w:line="276"/>
        <w:jc w:val="both"/>
      </w:pPr>
      <w:r>
        <w:rPr>
          <w:rFonts w:ascii="Calibri" w:cs="Calibri" w:eastAsia="Calibri" w:hAnsi="Calibri"/>
          <w:color w:val="262626"/>
          <w:sz w:val="21"/>
          <w:szCs w:val="21"/>
        </w:rPr>
        <w:t xml:space="preserve">This project presents the design and implementation of a Bank Management System using a relational database built entirely in MySQL. The system models the core entities and operations of a retail bank — customers, accounts, branches, employees, loans, cards, nominees, and transactions — and demonstrates the complete database design lifecycle: conceptual modeling with the Entity-Relationship (ER) model, formal normalization up to Fourth Normal Form (4NF), translation into a relational schema, and implementation using advanced SQL features including constraints, views, indexes, triggers, and stored procedures with transaction control.</w:t>
      </w:r>
    </w:p>
    <w:p>
      <w:pPr>
        <w:spacing w:after="160" w:line="276"/>
        <w:jc w:val="both"/>
      </w:pPr>
      <w:r>
        <w:rPr>
          <w:rFonts w:ascii="Calibri" w:cs="Calibri" w:eastAsia="Calibri" w:hAnsi="Calibri"/>
          <w:color w:val="262626"/>
          <w:sz w:val="21"/>
          <w:szCs w:val="21"/>
        </w:rPr>
        <w:t xml:space="preserve">The resulting database enforces data integrity declaratively wherever possible, automates business rules such as balance updates and loan closure through triggers, and supports a wide range of analytical queries using relational algebra operations expressed in SQL.</w:t>
      </w:r>
    </w:p>
    <w:p>
      <w:pPr>
        <w:pStyle w:val="Heading1"/>
        <w:pBdr>
          <w:bottom w:val="single" w:color="B3891E" w:sz="12" w:space="4"/>
        </w:pBdr>
        <w:spacing w:after="200" w:before="400"/>
      </w:pPr>
      <w:r>
        <w:rPr>
          <w:rFonts w:ascii="Calibri" w:cs="Calibri" w:eastAsia="Calibri" w:hAnsi="Calibri"/>
          <w:b/>
          <w:bCs/>
          <w:color w:val="1F3864"/>
          <w:sz w:val="30"/>
          <w:szCs w:val="30"/>
        </w:rPr>
        <w:t xml:space="preserve">2. Introduction</w:t>
      </w:r>
    </w:p>
    <w:p>
      <w:pPr>
        <w:pStyle w:val="Heading2"/>
        <w:spacing w:after="140" w:before="280"/>
      </w:pPr>
      <w:r>
        <w:rPr>
          <w:rFonts w:ascii="Calibri" w:cs="Calibri" w:eastAsia="Calibri" w:hAnsi="Calibri"/>
          <w:b/>
          <w:bCs/>
          <w:color w:val="2E5395"/>
          <w:sz w:val="24"/>
          <w:szCs w:val="24"/>
        </w:rPr>
        <w:t xml:space="preserve">2.1 Motivation</w:t>
      </w:r>
    </w:p>
    <w:p>
      <w:pPr>
        <w:spacing w:after="160" w:line="276"/>
        <w:jc w:val="both"/>
      </w:pPr>
      <w:r>
        <w:rPr>
          <w:rFonts w:ascii="Calibri" w:cs="Calibri" w:eastAsia="Calibri" w:hAnsi="Calibri"/>
          <w:color w:val="262626"/>
          <w:sz w:val="21"/>
          <w:szCs w:val="21"/>
        </w:rPr>
        <w:t xml:space="preserve">Banking systems are among the most widely used domains for teaching relational database concepts, because they naturally exhibit almost every structural challenge a database course covers: one-to-many relationships (branch to accounts), many-to-many relationships (customers to joint accounts), recursive relationships (employee to manager), and weak entities that cannot exist independently (nominees). This project was chosen to apply theoretical DBMS concepts to a domain complex enough to require genuine design decisions, rather than a trivial schema.</w:t>
      </w:r>
    </w:p>
    <w:p>
      <w:pPr>
        <w:pStyle w:val="Heading2"/>
        <w:spacing w:after="140" w:before="280"/>
      </w:pPr>
      <w:r>
        <w:rPr>
          <w:rFonts w:ascii="Calibri" w:cs="Calibri" w:eastAsia="Calibri" w:hAnsi="Calibri"/>
          <w:b/>
          <w:bCs/>
          <w:color w:val="2E5395"/>
          <w:sz w:val="24"/>
          <w:szCs w:val="24"/>
        </w:rPr>
        <w:t xml:space="preserve">2.2 Objectives</w:t>
      </w:r>
    </w:p>
    <w:p>
      <w:pPr>
        <w:pStyle w:val="ListParagraph"/>
        <w:numPr>
          <w:ilvl w:val="0"/>
          <w:numId w:val="2"/>
        </w:numPr>
        <w:spacing w:after="80"/>
      </w:pPr>
      <w:r>
        <w:rPr>
          <w:rFonts w:ascii="Calibri" w:cs="Calibri" w:eastAsia="Calibri" w:hAnsi="Calibri"/>
          <w:color w:val="262626"/>
          <w:sz w:val="21"/>
          <w:szCs w:val="21"/>
        </w:rPr>
        <w:t xml:space="preserve">Design a normalized relational schema, taken through to BCNF and 4NF, for a banking domain.</w:t>
      </w:r>
    </w:p>
    <w:p>
      <w:pPr>
        <w:pStyle w:val="ListParagraph"/>
        <w:numPr>
          <w:ilvl w:val="0"/>
          <w:numId w:val="2"/>
        </w:numPr>
        <w:spacing w:after="80"/>
      </w:pPr>
      <w:r>
        <w:rPr>
          <w:rFonts w:ascii="Calibri" w:cs="Calibri" w:eastAsia="Calibri" w:hAnsi="Calibri"/>
          <w:color w:val="262626"/>
          <w:sz w:val="21"/>
          <w:szCs w:val="21"/>
        </w:rPr>
        <w:t xml:space="preserve">Correctly identify and model a weak entity set with a composite key.</w:t>
      </w:r>
    </w:p>
    <w:p>
      <w:pPr>
        <w:pStyle w:val="ListParagraph"/>
        <w:numPr>
          <w:ilvl w:val="0"/>
          <w:numId w:val="2"/>
        </w:numPr>
        <w:spacing w:after="80"/>
      </w:pPr>
      <w:r>
        <w:rPr>
          <w:rFonts w:ascii="Calibri" w:cs="Calibri" w:eastAsia="Calibri" w:hAnsi="Calibri"/>
          <w:color w:val="262626"/>
          <w:sz w:val="21"/>
          <w:szCs w:val="21"/>
        </w:rPr>
        <w:t xml:space="preserve">Resolve a many-to-many relationship using a bridge/associative table.</w:t>
      </w:r>
    </w:p>
    <w:p>
      <w:pPr>
        <w:pStyle w:val="ListParagraph"/>
        <w:numPr>
          <w:ilvl w:val="0"/>
          <w:numId w:val="2"/>
        </w:numPr>
        <w:spacing w:after="80"/>
      </w:pPr>
      <w:r>
        <w:rPr>
          <w:rFonts w:ascii="Calibri" w:cs="Calibri" w:eastAsia="Calibri" w:hAnsi="Calibri"/>
          <w:color w:val="262626"/>
          <w:sz w:val="21"/>
          <w:szCs w:val="21"/>
        </w:rPr>
        <w:t xml:space="preserve">Enforce data integrity using primary keys, foreign keys, CHECK constraints, and domain restrictions.</w:t>
      </w:r>
    </w:p>
    <w:p>
      <w:pPr>
        <w:pStyle w:val="ListParagraph"/>
        <w:numPr>
          <w:ilvl w:val="0"/>
          <w:numId w:val="2"/>
        </w:numPr>
        <w:spacing w:after="80"/>
      </w:pPr>
      <w:r>
        <w:rPr>
          <w:rFonts w:ascii="Calibri" w:cs="Calibri" w:eastAsia="Calibri" w:hAnsi="Calibri"/>
          <w:color w:val="262626"/>
          <w:sz w:val="21"/>
          <w:szCs w:val="21"/>
        </w:rPr>
        <w:t xml:space="preserve">Implement business logic using triggers and a stored procedure with full transaction control (TCL).</w:t>
      </w:r>
    </w:p>
    <w:p>
      <w:pPr>
        <w:pStyle w:val="ListParagraph"/>
        <w:numPr>
          <w:ilvl w:val="0"/>
          <w:numId w:val="2"/>
        </w:numPr>
        <w:spacing w:after="80"/>
      </w:pPr>
      <w:r>
        <w:rPr>
          <w:rFonts w:ascii="Calibri" w:cs="Calibri" w:eastAsia="Calibri" w:hAnsi="Calibri"/>
          <w:color w:val="262626"/>
          <w:sz w:val="21"/>
          <w:szCs w:val="21"/>
        </w:rPr>
        <w:t xml:space="preserve">Demonstrate relational algebra operations — selection, projection, join, division, and set operations — through equivalent SQL queries.</w:t>
      </w:r>
    </w:p>
    <w:p>
      <w:pPr>
        <w:pStyle w:val="Heading2"/>
        <w:spacing w:after="140" w:before="280"/>
      </w:pPr>
      <w:r>
        <w:rPr>
          <w:rFonts w:ascii="Calibri" w:cs="Calibri" w:eastAsia="Calibri" w:hAnsi="Calibri"/>
          <w:b/>
          <w:bCs/>
          <w:color w:val="2E5395"/>
          <w:sz w:val="24"/>
          <w:szCs w:val="24"/>
        </w:rPr>
        <w:t xml:space="preserve">2.3 Scope</w:t>
      </w:r>
    </w:p>
    <w:p>
      <w:pPr>
        <w:spacing w:after="160" w:line="276"/>
        <w:jc w:val="both"/>
      </w:pPr>
      <w:r>
        <w:rPr>
          <w:rFonts w:ascii="Calibri" w:cs="Calibri" w:eastAsia="Calibri" w:hAnsi="Calibri"/>
          <w:color w:val="262626"/>
          <w:sz w:val="21"/>
          <w:szCs w:val="21"/>
        </w:rPr>
        <w:t xml:space="preserve">The system covers customer and account management, joint account holders, nominee registration, deposit/withdrawal/transfer transactions, loan issuance and repayment tracking, and debit/credit card issuance. It does not implement a user-facing application layer, authentication, or network-level security — these are addressed under Limitations and Future Scope.</w:t>
      </w:r>
    </w:p>
    <w:p>
      <w:r>
        <w:br w:type="page"/>
      </w:r>
    </w:p>
    <w:p>
      <w:pPr>
        <w:pStyle w:val="Heading1"/>
        <w:pBdr>
          <w:bottom w:val="single" w:color="B3891E" w:sz="12" w:space="4"/>
        </w:pBdr>
        <w:spacing w:after="200" w:before="400"/>
      </w:pPr>
      <w:r>
        <w:rPr>
          <w:rFonts w:ascii="Calibri" w:cs="Calibri" w:eastAsia="Calibri" w:hAnsi="Calibri"/>
          <w:b/>
          <w:bCs/>
          <w:color w:val="1F3864"/>
          <w:sz w:val="30"/>
          <w:szCs w:val="30"/>
        </w:rPr>
        <w:t xml:space="preserve">3. System Requirements</w:t>
      </w:r>
    </w:p>
    <w:p>
      <w:pPr>
        <w:pStyle w:val="Heading2"/>
        <w:spacing w:after="140" w:before="280"/>
      </w:pPr>
      <w:r>
        <w:rPr>
          <w:rFonts w:ascii="Calibri" w:cs="Calibri" w:eastAsia="Calibri" w:hAnsi="Calibri"/>
          <w:b/>
          <w:bCs/>
          <w:color w:val="2E5395"/>
          <w:sz w:val="24"/>
          <w:szCs w:val="24"/>
        </w:rPr>
        <w:t xml:space="preserve">3.1 Software Requirements</w:t>
      </w:r>
    </w:p>
    <w:tbl>
      <w:tblPr>
        <w:tblW w:type="dxa" w:w="8352"/>
        <w:tblBorders>
          <w:top w:val="single" w:color="auto" w:sz="4"/>
          <w:left w:val="single" w:color="auto" w:sz="4"/>
          <w:bottom w:val="single" w:color="auto" w:sz="4"/>
          <w:right w:val="single" w:color="auto" w:sz="4"/>
          <w:insideH w:val="single" w:color="auto" w:sz="4"/>
          <w:insideV w:val="single" w:color="auto" w:sz="4"/>
        </w:tblBorders>
      </w:tblPr>
      <w:tblGrid>
        <w:gridCol w:w="2592"/>
        <w:gridCol w:w="5760"/>
      </w:tblGrid>
      <w:tr>
        <w:trPr>
          <w:tblHeader/>
        </w:trPr>
        <w:tc>
          <w:tcPr>
            <w:tcW w:type="dxa" w:w="259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Requirement</w:t>
            </w:r>
          </w:p>
        </w:tc>
        <w:tc>
          <w:tcPr>
            <w:tcW w:type="dxa" w:w="57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Specification</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DBMS</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MySQL Server 8.0 or later (8.0.31+ recommended)</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Client</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MySQL Workbench / DBeaver / MySQL CLI</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Operating System</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Platform-independent</w:t>
            </w:r>
          </w:p>
        </w:tc>
      </w:tr>
    </w:tbl>
    <w:p>
      <w:pPr>
        <w:pStyle w:val="Heading2"/>
        <w:spacing w:after="140" w:before="280"/>
      </w:pPr>
      <w:r>
        <w:rPr>
          <w:rFonts w:ascii="Calibri" w:cs="Calibri" w:eastAsia="Calibri" w:hAnsi="Calibri"/>
          <w:b/>
          <w:bCs/>
          <w:color w:val="2E5395"/>
          <w:sz w:val="24"/>
          <w:szCs w:val="24"/>
        </w:rPr>
        <w:t xml:space="preserve">3.2 Functional Requirements</w:t>
      </w:r>
    </w:p>
    <w:p>
      <w:pPr>
        <w:pStyle w:val="ListParagraph"/>
        <w:numPr>
          <w:ilvl w:val="0"/>
          <w:numId w:val="2"/>
        </w:numPr>
        <w:spacing w:after="80"/>
      </w:pPr>
      <w:r>
        <w:rPr>
          <w:rFonts w:ascii="Calibri" w:cs="Calibri" w:eastAsia="Calibri" w:hAnsi="Calibri"/>
          <w:color w:val="262626"/>
          <w:sz w:val="21"/>
          <w:szCs w:val="21"/>
        </w:rPr>
        <w:t xml:space="preserve">The system shall allow a customer to hold one or more accounts, and an account to be jointly held by more than one customer.</w:t>
      </w:r>
    </w:p>
    <w:p>
      <w:pPr>
        <w:pStyle w:val="ListParagraph"/>
        <w:numPr>
          <w:ilvl w:val="0"/>
          <w:numId w:val="2"/>
        </w:numPr>
        <w:spacing w:after="80"/>
      </w:pPr>
      <w:r>
        <w:rPr>
          <w:rFonts w:ascii="Calibri" w:cs="Calibri" w:eastAsia="Calibri" w:hAnsi="Calibri"/>
          <w:color w:val="262626"/>
          <w:sz w:val="21"/>
          <w:szCs w:val="21"/>
        </w:rPr>
        <w:t xml:space="preserve">The system shall record every deposit, withdrawal, and transfer as an immutable transaction and keep the account balance consistent with its transaction history.</w:t>
      </w:r>
    </w:p>
    <w:p>
      <w:pPr>
        <w:pStyle w:val="ListParagraph"/>
        <w:numPr>
          <w:ilvl w:val="0"/>
          <w:numId w:val="2"/>
        </w:numPr>
        <w:spacing w:after="80"/>
      </w:pPr>
      <w:r>
        <w:rPr>
          <w:rFonts w:ascii="Calibri" w:cs="Calibri" w:eastAsia="Calibri" w:hAnsi="Calibri"/>
          <w:color w:val="262626"/>
          <w:sz w:val="21"/>
          <w:szCs w:val="21"/>
        </w:rPr>
        <w:t xml:space="preserve">The system shall prevent any withdrawal or transfer that would overdraw an account.</w:t>
      </w:r>
    </w:p>
    <w:p>
      <w:pPr>
        <w:pStyle w:val="ListParagraph"/>
        <w:numPr>
          <w:ilvl w:val="0"/>
          <w:numId w:val="2"/>
        </w:numPr>
        <w:spacing w:after="80"/>
      </w:pPr>
      <w:r>
        <w:rPr>
          <w:rFonts w:ascii="Calibri" w:cs="Calibri" w:eastAsia="Calibri" w:hAnsi="Calibri"/>
          <w:color w:val="262626"/>
          <w:sz w:val="21"/>
          <w:szCs w:val="21"/>
        </w:rPr>
        <w:t xml:space="preserve">The system shall track loan repayments individually and automatically close a loan once fully repaid.</w:t>
      </w:r>
    </w:p>
    <w:p>
      <w:pPr>
        <w:pStyle w:val="ListParagraph"/>
        <w:numPr>
          <w:ilvl w:val="0"/>
          <w:numId w:val="2"/>
        </w:numPr>
        <w:spacing w:after="80"/>
      </w:pPr>
      <w:r>
        <w:rPr>
          <w:rFonts w:ascii="Calibri" w:cs="Calibri" w:eastAsia="Calibri" w:hAnsi="Calibri"/>
          <w:color w:val="262626"/>
          <w:sz w:val="21"/>
          <w:szCs w:val="21"/>
        </w:rPr>
        <w:t xml:space="preserve">The system shall maintain an audit trail of balance and loan-status changes.</w:t>
      </w:r>
    </w:p>
    <w:p>
      <w:pPr>
        <w:pStyle w:val="Heading2"/>
        <w:spacing w:after="140" w:before="280"/>
      </w:pPr>
      <w:r>
        <w:rPr>
          <w:rFonts w:ascii="Calibri" w:cs="Calibri" w:eastAsia="Calibri" w:hAnsi="Calibri"/>
          <w:b/>
          <w:bCs/>
          <w:color w:val="2E5395"/>
          <w:sz w:val="24"/>
          <w:szCs w:val="24"/>
        </w:rPr>
        <w:t xml:space="preserve">3.3 Non-Functional Requirements</w:t>
      </w:r>
    </w:p>
    <w:p>
      <w:pPr>
        <w:pStyle w:val="ListParagraph"/>
        <w:numPr>
          <w:ilvl w:val="0"/>
          <w:numId w:val="2"/>
        </w:numPr>
        <w:spacing w:after="80"/>
      </w:pPr>
      <w:r>
        <w:rPr>
          <w:rFonts w:ascii="Calibri" w:cs="Calibri" w:eastAsia="Calibri" w:hAnsi="Calibri"/>
          <w:color w:val="262626"/>
          <w:sz w:val="21"/>
          <w:szCs w:val="21"/>
        </w:rPr>
        <w:t xml:space="preserve">Data integrity enforced at the database level, not deferred to application code.</w:t>
      </w:r>
    </w:p>
    <w:p>
      <w:pPr>
        <w:pStyle w:val="ListParagraph"/>
        <w:numPr>
          <w:ilvl w:val="0"/>
          <w:numId w:val="2"/>
        </w:numPr>
        <w:spacing w:after="80"/>
      </w:pPr>
      <w:r>
        <w:rPr>
          <w:rFonts w:ascii="Calibri" w:cs="Calibri" w:eastAsia="Calibri" w:hAnsi="Calibri"/>
          <w:color w:val="262626"/>
          <w:sz w:val="21"/>
          <w:szCs w:val="21"/>
        </w:rPr>
        <w:t xml:space="preserve">Atomicity of fund transfers guaranteed through transaction control.</w:t>
      </w:r>
    </w:p>
    <w:p>
      <w:pPr>
        <w:pStyle w:val="ListParagraph"/>
        <w:numPr>
          <w:ilvl w:val="0"/>
          <w:numId w:val="2"/>
        </w:numPr>
        <w:spacing w:after="80"/>
      </w:pPr>
      <w:r>
        <w:rPr>
          <w:rFonts w:ascii="Calibri" w:cs="Calibri" w:eastAsia="Calibri" w:hAnsi="Calibri"/>
          <w:color w:val="262626"/>
          <w:sz w:val="21"/>
          <w:szCs w:val="21"/>
        </w:rPr>
        <w:t xml:space="preserve">Indexes placed on foreign-key and frequently searched columns for query performance.</w:t>
      </w:r>
    </w:p>
    <w:p>
      <w:pPr>
        <w:pStyle w:val="Heading1"/>
        <w:pBdr>
          <w:bottom w:val="single" w:color="B3891E" w:sz="12" w:space="4"/>
        </w:pBdr>
        <w:spacing w:after="200" w:before="400"/>
      </w:pPr>
      <w:r>
        <w:rPr>
          <w:rFonts w:ascii="Calibri" w:cs="Calibri" w:eastAsia="Calibri" w:hAnsi="Calibri"/>
          <w:b/>
          <w:bCs/>
          <w:color w:val="1F3864"/>
          <w:sz w:val="30"/>
          <w:szCs w:val="30"/>
        </w:rPr>
        <w:t xml:space="preserve">4. System Design</w:t>
      </w:r>
    </w:p>
    <w:p>
      <w:pPr>
        <w:pStyle w:val="Heading2"/>
        <w:spacing w:after="140" w:before="280"/>
      </w:pPr>
      <w:r>
        <w:rPr>
          <w:rFonts w:ascii="Calibri" w:cs="Calibri" w:eastAsia="Calibri" w:hAnsi="Calibri"/>
          <w:b/>
          <w:bCs/>
          <w:color w:val="2E5395"/>
          <w:sz w:val="24"/>
          <w:szCs w:val="24"/>
        </w:rPr>
        <w:t xml:space="preserve">4.1 Entity–Relationship Model</w:t>
      </w:r>
    </w:p>
    <w:p>
      <w:pPr>
        <w:spacing w:after="160" w:line="276"/>
        <w:jc w:val="both"/>
      </w:pPr>
      <w:r>
        <w:rPr>
          <w:rFonts w:ascii="Calibri" w:cs="Calibri" w:eastAsia="Calibri" w:hAnsi="Calibri"/>
          <w:color w:val="262626"/>
          <w:sz w:val="21"/>
          <w:szCs w:val="21"/>
        </w:rPr>
        <w:t xml:space="preserve">The schema models 13 entity sets. Nominee is modeled as a weak entity set — it is existence-dependent on Account and identified by the composite key (Account_No, Nominee_Name). The many-to-many relationship between Customer and Account is resolved through the associative entity Customer_Account to correctly represent joint accounts. A recursive relationship (Employee manages Employee) is modeled with a self-referencing foreign key, Manager_ID.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168"/>
        <w:gridCol w:w="2448"/>
        <w:gridCol w:w="4032"/>
      </w:tblGrid>
      <w:tr>
        <w:trPr>
          <w:tblHeader/>
        </w:trPr>
        <w:tc>
          <w:tcPr>
            <w:tcW w:type="dxa" w:w="3168"/>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Relationship</w:t>
            </w:r>
          </w:p>
        </w:tc>
        <w:tc>
          <w:tcPr>
            <w:tcW w:type="dxa" w:w="2448"/>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Cardinality</w:t>
            </w:r>
          </w:p>
        </w:tc>
        <w:tc>
          <w:tcPr>
            <w:tcW w:type="dxa" w:w="403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Notes</w:t>
            </w:r>
          </w:p>
        </w:tc>
      </w:tr>
      <w:tr>
        <w:tc>
          <w:tcPr>
            <w:tcW w:type="dxa" w:w="31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Branch → Employee</w:t>
            </w:r>
          </w:p>
        </w:tc>
        <w:tc>
          <w:tcPr>
            <w:tcW w:type="dxa" w:w="24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An employee works at exactly one branch</w:t>
            </w:r>
          </w:p>
        </w:tc>
      </w:tr>
      <w:tr>
        <w:tc>
          <w:tcPr>
            <w:tcW w:type="dxa" w:w="316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Employee → Employee</w:t>
            </w:r>
          </w:p>
        </w:tc>
        <w:tc>
          <w:tcPr>
            <w:tcW w:type="dxa" w:w="244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 (recursive)</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Manager_ID self-references Employee</w:t>
            </w:r>
          </w:p>
        </w:tc>
      </w:tr>
      <w:tr>
        <w:tc>
          <w:tcPr>
            <w:tcW w:type="dxa" w:w="31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Branch → Account</w:t>
            </w:r>
          </w:p>
        </w:tc>
        <w:tc>
          <w:tcPr>
            <w:tcW w:type="dxa" w:w="24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An account is opened at one branch</w:t>
            </w:r>
          </w:p>
        </w:tc>
      </w:tr>
      <w:tr>
        <w:tc>
          <w:tcPr>
            <w:tcW w:type="dxa" w:w="316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 Account</w:t>
            </w:r>
          </w:p>
        </w:tc>
        <w:tc>
          <w:tcPr>
            <w:tcW w:type="dxa" w:w="244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 : N</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Resolved via Customer_Account (joint accounts)</w:t>
            </w:r>
          </w:p>
        </w:tc>
      </w:tr>
      <w:tr>
        <w:tc>
          <w:tcPr>
            <w:tcW w:type="dxa" w:w="31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Account → Nominee</w:t>
            </w:r>
          </w:p>
        </w:tc>
        <w:tc>
          <w:tcPr>
            <w:tcW w:type="dxa" w:w="24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Weak entity, identifying relationship</w:t>
            </w:r>
          </w:p>
        </w:tc>
      </w:tr>
      <w:tr>
        <w:tc>
          <w:tcPr>
            <w:tcW w:type="dxa" w:w="316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Account → Transaction</w:t>
            </w:r>
          </w:p>
        </w:tc>
        <w:tc>
          <w:tcPr>
            <w:tcW w:type="dxa" w:w="244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Every movement is logged</w:t>
            </w:r>
          </w:p>
        </w:tc>
      </w:tr>
      <w:tr>
        <w:tc>
          <w:tcPr>
            <w:tcW w:type="dxa" w:w="31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 Loan</w:t>
            </w:r>
          </w:p>
        </w:tc>
        <w:tc>
          <w:tcPr>
            <w:tcW w:type="dxa" w:w="24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 customer may hold multiple loans</w:t>
            </w:r>
          </w:p>
        </w:tc>
      </w:tr>
      <w:tr>
        <w:tc>
          <w:tcPr>
            <w:tcW w:type="dxa" w:w="316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Loan → Loan_Payment</w:t>
            </w:r>
          </w:p>
        </w:tc>
        <w:tc>
          <w:tcPr>
            <w:tcW w:type="dxa" w:w="244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 : N</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EMI history per loan</w:t>
            </w:r>
          </w:p>
        </w:tc>
      </w:tr>
    </w:tbl>
    <w:p>
      <w:pPr>
        <w:pStyle w:val="Heading2"/>
        <w:spacing w:after="140" w:before="280"/>
      </w:pPr>
      <w:r>
        <w:rPr>
          <w:rFonts w:ascii="Calibri" w:cs="Calibri" w:eastAsia="Calibri" w:hAnsi="Calibri"/>
          <w:b/>
          <w:bCs/>
          <w:color w:val="2E5395"/>
          <w:sz w:val="24"/>
          <w:szCs w:val="24"/>
        </w:rPr>
        <w:t xml:space="preserve">4.2 Normalization</w:t>
      </w:r>
    </w:p>
    <w:p>
      <w:pPr>
        <w:spacing w:after="160" w:line="276"/>
        <w:jc w:val="both"/>
      </w:pPr>
      <w:r>
        <w:rPr>
          <w:rFonts w:ascii="Calibri" w:cs="Calibri" w:eastAsia="Calibri" w:hAnsi="Calibri"/>
          <w:color w:val="262626"/>
          <w:sz w:val="21"/>
          <w:szCs w:val="21"/>
        </w:rPr>
        <w:t xml:space="preserve">The schema was normalized through successive stages, each resolving a specific class of redundancy present in a naive, unnormalized design:</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40"/>
        <w:gridCol w:w="4176"/>
        <w:gridCol w:w="4032"/>
      </w:tblGrid>
      <w:tr>
        <w:trPr>
          <w:tblHeader/>
        </w:trPr>
        <w:tc>
          <w:tcPr>
            <w:tcW w:type="dxa" w:w="144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Stage</w:t>
            </w:r>
          </w:p>
        </w:tc>
        <w:tc>
          <w:tcPr>
            <w:tcW w:type="dxa" w:w="4176"/>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Violation Addressed</w:t>
            </w:r>
          </w:p>
        </w:tc>
        <w:tc>
          <w:tcPr>
            <w:tcW w:type="dxa" w:w="403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Resolution Applied</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1NF</w:t>
            </w:r>
          </w:p>
        </w:tc>
        <w:tc>
          <w:tcPr>
            <w:tcW w:type="dxa" w:w="417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Repeating groups (e.g. multiple nominee columns)</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Nominee extracted into its own table</w:t>
            </w:r>
          </w:p>
        </w:tc>
      </w:tr>
      <w:tr>
        <w:tc>
          <w:tcPr>
            <w:tcW w:type="dxa" w:w="144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2NF</w:t>
            </w:r>
          </w:p>
        </w:tc>
        <w:tc>
          <w:tcPr>
            <w:tcW w:type="dxa" w:w="4176"/>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Partial dependency on part of a composite key</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and Customer_Account separated</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3NF</w:t>
            </w:r>
          </w:p>
        </w:tc>
        <w:tc>
          <w:tcPr>
            <w:tcW w:type="dxa" w:w="417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Transitive dependency (interest rate on account type)</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Account_Type and Loan_Type extracted as lookups</w:t>
            </w:r>
          </w:p>
        </w:tc>
      </w:tr>
      <w:tr>
        <w:tc>
          <w:tcPr>
            <w:tcW w:type="dxa" w:w="144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BCNF</w:t>
            </w:r>
          </w:p>
        </w:tc>
        <w:tc>
          <w:tcPr>
            <w:tcW w:type="dxa" w:w="4176"/>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 determinant that is not a candidate key</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Avoided by design — no hidden determinant attributes</w:t>
            </w:r>
          </w:p>
        </w:tc>
      </w:tr>
      <w:tr>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4NF</w:t>
            </w:r>
          </w:p>
        </w:tc>
        <w:tc>
          <w:tcPr>
            <w:tcW w:type="dxa" w:w="4176"/>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Independent multivalued facts in one table</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Nominee and Card kept as separate tables</w:t>
            </w:r>
          </w:p>
        </w:tc>
      </w:tr>
    </w:tbl>
    <w:p>
      <w:pPr>
        <w:pStyle w:val="Heading2"/>
        <w:spacing w:after="140" w:before="280"/>
      </w:pPr>
      <w:r>
        <w:rPr>
          <w:rFonts w:ascii="Calibri" w:cs="Calibri" w:eastAsia="Calibri" w:hAnsi="Calibri"/>
          <w:b/>
          <w:bCs/>
          <w:color w:val="2E5395"/>
          <w:sz w:val="24"/>
          <w:szCs w:val="24"/>
        </w:rPr>
        <w:t xml:space="preserve">4.3 Integrity Constraints</w:t>
      </w:r>
    </w:p>
    <w:p>
      <w:pPr>
        <w:pStyle w:val="ListParagraph"/>
        <w:numPr>
          <w:ilvl w:val="0"/>
          <w:numId w:val="2"/>
        </w:numPr>
        <w:spacing w:after="80"/>
      </w:pPr>
      <w:r>
        <w:rPr>
          <w:rFonts w:ascii="Calibri" w:cs="Calibri" w:eastAsia="Calibri" w:hAnsi="Calibri"/>
          <w:color w:val="262626"/>
          <w:sz w:val="21"/>
          <w:szCs w:val="21"/>
        </w:rPr>
        <w:t xml:space="preserve">Entity integrity — every table has a declared primary key (surrogate or composite).</w:t>
      </w:r>
    </w:p>
    <w:p>
      <w:pPr>
        <w:pStyle w:val="ListParagraph"/>
        <w:numPr>
          <w:ilvl w:val="0"/>
          <w:numId w:val="2"/>
        </w:numPr>
        <w:spacing w:after="80"/>
      </w:pPr>
      <w:r>
        <w:rPr>
          <w:rFonts w:ascii="Calibri" w:cs="Calibri" w:eastAsia="Calibri" w:hAnsi="Calibri"/>
          <w:color w:val="262626"/>
          <w:sz w:val="21"/>
          <w:szCs w:val="21"/>
        </w:rPr>
        <w:t xml:space="preserve">Referential integrity — every relationship enforced via FOREIGN KEY, with an explicit ON DELETE/ON UPDATE policy matching real-world semantics.</w:t>
      </w:r>
    </w:p>
    <w:p>
      <w:pPr>
        <w:pStyle w:val="ListParagraph"/>
        <w:numPr>
          <w:ilvl w:val="0"/>
          <w:numId w:val="2"/>
        </w:numPr>
        <w:spacing w:after="80"/>
      </w:pPr>
      <w:r>
        <w:rPr>
          <w:rFonts w:ascii="Calibri" w:cs="Calibri" w:eastAsia="Calibri" w:hAnsi="Calibri"/>
          <w:color w:val="262626"/>
          <w:sz w:val="21"/>
          <w:szCs w:val="21"/>
        </w:rPr>
        <w:t xml:space="preserve">Domain integrity — CHECK constraints and ENUM types restrict columns to valid value ranges.</w:t>
      </w:r>
    </w:p>
    <w:p>
      <w:r>
        <w:br w:type="page"/>
      </w:r>
    </w:p>
    <w:p>
      <w:pPr>
        <w:pStyle w:val="Heading1"/>
        <w:pBdr>
          <w:bottom w:val="single" w:color="B3891E" w:sz="12" w:space="4"/>
        </w:pBdr>
        <w:spacing w:after="200" w:before="400"/>
      </w:pPr>
      <w:r>
        <w:rPr>
          <w:rFonts w:ascii="Calibri" w:cs="Calibri" w:eastAsia="Calibri" w:hAnsi="Calibri"/>
          <w:b/>
          <w:bCs/>
          <w:color w:val="1F3864"/>
          <w:sz w:val="30"/>
          <w:szCs w:val="30"/>
        </w:rPr>
        <w:t xml:space="preserve">5. Relational Schema Summary</w:t>
      </w:r>
    </w:p>
    <w:p>
      <w:pPr>
        <w:spacing w:after="160" w:line="276"/>
        <w:jc w:val="both"/>
      </w:pPr>
      <w:r>
        <w:rPr>
          <w:rFonts w:ascii="Calibri" w:cs="Calibri" w:eastAsia="Calibri" w:hAnsi="Calibri"/>
          <w:color w:val="262626"/>
          <w:sz w:val="21"/>
          <w:szCs w:val="21"/>
        </w:rPr>
        <w:t xml:space="preserve">The complete DDL is implemented in bank_management_system.sql. The 13 core tables and their roles are summarized below.</w:t>
      </w:r>
    </w:p>
    <w:tbl>
      <w:tblPr>
        <w:tblW w:type="dxa" w:w="8352"/>
        <w:tblBorders>
          <w:top w:val="single" w:color="auto" w:sz="4"/>
          <w:left w:val="single" w:color="auto" w:sz="4"/>
          <w:bottom w:val="single" w:color="auto" w:sz="4"/>
          <w:right w:val="single" w:color="auto" w:sz="4"/>
          <w:insideH w:val="single" w:color="auto" w:sz="4"/>
          <w:insideV w:val="single" w:color="auto" w:sz="4"/>
        </w:tblBorders>
      </w:tblPr>
      <w:tblGrid>
        <w:gridCol w:w="2592"/>
        <w:gridCol w:w="5760"/>
      </w:tblGrid>
      <w:tr>
        <w:trPr>
          <w:tblHeader/>
        </w:trPr>
        <w:tc>
          <w:tcPr>
            <w:tcW w:type="dxa" w:w="259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Table</w:t>
            </w:r>
          </w:p>
        </w:tc>
        <w:tc>
          <w:tcPr>
            <w:tcW w:type="dxa" w:w="57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Description</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Branch</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Bank branch details</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Employee</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Staff, including a self-referencing manager hierarchy</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Account holders</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Account_Type</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Lookup — SAVINGS / CURRENT / FIXED_DEPOSIT with interest rate</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Account</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Bank accounts</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Customer_Account</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Bridge table for joint / multi-holder accounts</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Nominee</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Weak entity — nominees associated with an account</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Transaction</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Deposits, withdrawals, and transfers</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Loan_Type</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Lookup — HOME / PERSONAL / AUTO / EDUCATION</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Loan</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Customer loans</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Loan_Payment</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EMI and repayment history</w:t>
            </w:r>
          </w:p>
        </w:tc>
      </w:tr>
      <w:tr>
        <w:tc>
          <w:tcPr>
            <w:tcW w:type="dxa" w:w="259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Card</w:t>
            </w:r>
          </w:p>
        </w:tc>
        <w:tc>
          <w:tcPr>
            <w:tcW w:type="dxa" w:w="57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Debit / credit cards linked to accounts</w:t>
            </w:r>
          </w:p>
        </w:tc>
      </w:tr>
      <w:tr>
        <w:tc>
          <w:tcPr>
            <w:tcW w:type="dxa" w:w="259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Audit_Log</w:t>
            </w:r>
          </w:p>
        </w:tc>
        <w:tc>
          <w:tcPr>
            <w:tcW w:type="dxa" w:w="57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Trigger-populated change history</w:t>
            </w:r>
          </w:p>
        </w:tc>
      </w:tr>
    </w:tbl>
    <w:p>
      <w:pPr>
        <w:pStyle w:val="Heading1"/>
        <w:pBdr>
          <w:bottom w:val="single" w:color="B3891E" w:sz="12" w:space="4"/>
        </w:pBdr>
        <w:spacing w:after="200" w:before="400"/>
      </w:pPr>
      <w:r>
        <w:rPr>
          <w:rFonts w:ascii="Calibri" w:cs="Calibri" w:eastAsia="Calibri" w:hAnsi="Calibri"/>
          <w:b/>
          <w:bCs/>
          <w:color w:val="1F3864"/>
          <w:sz w:val="30"/>
          <w:szCs w:val="30"/>
        </w:rPr>
        <w:t xml:space="preserve">6. Implementation Highlights</w:t>
      </w:r>
    </w:p>
    <w:p>
      <w:pPr>
        <w:pStyle w:val="Heading2"/>
        <w:spacing w:after="140" w:before="280"/>
      </w:pPr>
      <w:r>
        <w:rPr>
          <w:rFonts w:ascii="Calibri" w:cs="Calibri" w:eastAsia="Calibri" w:hAnsi="Calibri"/>
          <w:b/>
          <w:bCs/>
          <w:color w:val="2E5395"/>
          <w:sz w:val="24"/>
          <w:szCs w:val="24"/>
        </w:rPr>
        <w:t xml:space="preserve">6.1 Views</w:t>
      </w:r>
    </w:p>
    <w:p>
      <w:pPr>
        <w:spacing w:after="160" w:line="276"/>
        <w:jc w:val="both"/>
      </w:pPr>
      <w:r>
        <w:rPr>
          <w:rFonts w:ascii="Calibri" w:cs="Calibri" w:eastAsia="Calibri" w:hAnsi="Calibri"/>
          <w:color w:val="262626"/>
          <w:sz w:val="21"/>
          <w:szCs w:val="21"/>
        </w:rPr>
        <w:t xml:space="preserve">Four views illustrate a core distinction tested throughout DBMS coursework — updatable versus non-updatable views.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168"/>
        <w:gridCol w:w="2304"/>
        <w:gridCol w:w="4464"/>
      </w:tblGrid>
      <w:tr>
        <w:trPr>
          <w:tblHeader/>
        </w:trPr>
        <w:tc>
          <w:tcPr>
            <w:tcW w:type="dxa" w:w="3168"/>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View</w:t>
            </w:r>
          </w:p>
        </w:tc>
        <w:tc>
          <w:tcPr>
            <w:tcW w:type="dxa" w:w="2304"/>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Type</w:t>
            </w:r>
          </w:p>
        </w:tc>
        <w:tc>
          <w:tcPr>
            <w:tcW w:type="dxa" w:w="4464"/>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Purpose</w:t>
            </w:r>
          </w:p>
        </w:tc>
      </w:tr>
      <w:tr>
        <w:tc>
          <w:tcPr>
            <w:tcW w:type="dxa" w:w="31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View_Branch_Employees</w:t>
            </w:r>
          </w:p>
        </w:tc>
        <w:tc>
          <w:tcPr>
            <w:tcW w:type="dxa" w:w="230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Updatable</w:t>
            </w:r>
          </w:p>
        </w:tc>
        <w:tc>
          <w:tcPr>
            <w:tcW w:type="dxa" w:w="446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Single-table view; writes propagate to Employee</w:t>
            </w:r>
          </w:p>
        </w:tc>
      </w:tr>
      <w:tr>
        <w:tc>
          <w:tcPr>
            <w:tcW w:type="dxa" w:w="316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View_Customer_Total_Balance</w:t>
            </w:r>
          </w:p>
        </w:tc>
        <w:tc>
          <w:tcPr>
            <w:tcW w:type="dxa" w:w="230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Non-updatable</w:t>
            </w:r>
          </w:p>
        </w:tc>
        <w:tc>
          <w:tcPr>
            <w:tcW w:type="dxa" w:w="446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Multi-table aggregate (GROUP BY) view</w:t>
            </w:r>
          </w:p>
        </w:tc>
      </w:tr>
      <w:tr>
        <w:tc>
          <w:tcPr>
            <w:tcW w:type="dxa" w:w="316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View_Active_Loans</w:t>
            </w:r>
          </w:p>
        </w:tc>
        <w:tc>
          <w:tcPr>
            <w:tcW w:type="dxa" w:w="230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Read-only</w:t>
            </w:r>
          </w:p>
        </w:tc>
        <w:tc>
          <w:tcPr>
            <w:tcW w:type="dxa" w:w="446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Business view joining Loan, Customer, Branch, Loan_Type</w:t>
            </w:r>
          </w:p>
        </w:tc>
      </w:tr>
      <w:tr>
        <w:tc>
          <w:tcPr>
            <w:tcW w:type="dxa" w:w="316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View_Customer_Public</w:t>
            </w:r>
          </w:p>
        </w:tc>
        <w:tc>
          <w:tcPr>
            <w:tcW w:type="dxa" w:w="230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Read-only / security</w:t>
            </w:r>
          </w:p>
        </w:tc>
        <w:tc>
          <w:tcPr>
            <w:tcW w:type="dxa" w:w="446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Hides Aadhar_No and Email from general staff</w:t>
            </w:r>
          </w:p>
        </w:tc>
      </w:tr>
    </w:tbl>
    <w:p>
      <w:pPr>
        <w:pStyle w:val="Heading2"/>
        <w:spacing w:after="140" w:before="280"/>
      </w:pPr>
      <w:r>
        <w:rPr>
          <w:rFonts w:ascii="Calibri" w:cs="Calibri" w:eastAsia="Calibri" w:hAnsi="Calibri"/>
          <w:b/>
          <w:bCs/>
          <w:color w:val="2E5395"/>
          <w:sz w:val="24"/>
          <w:szCs w:val="24"/>
        </w:rPr>
        <w:t xml:space="preserve">6.2 Triggers</w:t>
      </w:r>
    </w:p>
    <w:p>
      <w:pPr>
        <w:pStyle w:val="ListParagraph"/>
        <w:numPr>
          <w:ilvl w:val="0"/>
          <w:numId w:val="2"/>
        </w:numPr>
        <w:spacing w:after="80"/>
      </w:pPr>
      <w:r>
        <w:rPr>
          <w:rFonts w:ascii="Calibri" w:cs="Calibri" w:eastAsia="Calibri" w:hAnsi="Calibri"/>
          <w:color w:val="262626"/>
          <w:sz w:val="21"/>
          <w:szCs w:val="21"/>
        </w:rPr>
        <w:t xml:space="preserve">trg_validate_customer_age — rejects customers under 18 (implemented as a trigger, not a CHECK, since MySQL disallows non-deterministic functions such as CURDATE() inside CHECK()).</w:t>
      </w:r>
    </w:p>
    <w:p>
      <w:pPr>
        <w:pStyle w:val="ListParagraph"/>
        <w:numPr>
          <w:ilvl w:val="0"/>
          <w:numId w:val="2"/>
        </w:numPr>
        <w:spacing w:after="80"/>
      </w:pPr>
      <w:r>
        <w:rPr>
          <w:rFonts w:ascii="Calibri" w:cs="Calibri" w:eastAsia="Calibri" w:hAnsi="Calibri"/>
          <w:color w:val="262626"/>
          <w:sz w:val="21"/>
          <w:szCs w:val="21"/>
        </w:rPr>
        <w:t xml:space="preserve">trg_before_insert_transaction — computes the resulting balance and rejects an overdrawing withdrawal/transfer.</w:t>
      </w:r>
    </w:p>
    <w:p>
      <w:pPr>
        <w:pStyle w:val="ListParagraph"/>
        <w:numPr>
          <w:ilvl w:val="0"/>
          <w:numId w:val="2"/>
        </w:numPr>
        <w:spacing w:after="80"/>
      </w:pPr>
      <w:r>
        <w:rPr>
          <w:rFonts w:ascii="Calibri" w:cs="Calibri" w:eastAsia="Calibri" w:hAnsi="Calibri"/>
          <w:color w:val="262626"/>
          <w:sz w:val="21"/>
          <w:szCs w:val="21"/>
        </w:rPr>
        <w:t xml:space="preserve">trg_after_insert_transaction — applies the balance change to the Account table.</w:t>
      </w:r>
    </w:p>
    <w:p>
      <w:pPr>
        <w:pStyle w:val="ListParagraph"/>
        <w:numPr>
          <w:ilvl w:val="0"/>
          <w:numId w:val="2"/>
        </w:numPr>
        <w:spacing w:after="80"/>
      </w:pPr>
      <w:r>
        <w:rPr>
          <w:rFonts w:ascii="Calibri" w:cs="Calibri" w:eastAsia="Calibri" w:hAnsi="Calibri"/>
          <w:color w:val="262626"/>
          <w:sz w:val="21"/>
          <w:szCs w:val="21"/>
        </w:rPr>
        <w:t xml:space="preserve">trg_audit_account_update / trg_audit_loan_status — log balance and loan-status changes to Audit_Log.</w:t>
      </w:r>
    </w:p>
    <w:p>
      <w:pPr>
        <w:pStyle w:val="ListParagraph"/>
        <w:numPr>
          <w:ilvl w:val="0"/>
          <w:numId w:val="2"/>
        </w:numPr>
        <w:spacing w:after="80"/>
      </w:pPr>
      <w:r>
        <w:rPr>
          <w:rFonts w:ascii="Calibri" w:cs="Calibri" w:eastAsia="Calibri" w:hAnsi="Calibri"/>
          <w:color w:val="262626"/>
          <w:sz w:val="21"/>
          <w:szCs w:val="21"/>
        </w:rPr>
        <w:t xml:space="preserve">trg_after_loan_payment — automatically closes a loan once cumulative payments meet the principal.</w:t>
      </w:r>
    </w:p>
    <w:p>
      <w:pPr>
        <w:pStyle w:val="Heading2"/>
        <w:spacing w:after="140" w:before="280"/>
      </w:pPr>
      <w:r>
        <w:rPr>
          <w:rFonts w:ascii="Calibri" w:cs="Calibri" w:eastAsia="Calibri" w:hAnsi="Calibri"/>
          <w:b/>
          <w:bCs/>
          <w:color w:val="2E5395"/>
          <w:sz w:val="24"/>
          <w:szCs w:val="24"/>
        </w:rPr>
        <w:t xml:space="preserve">6.3 Stored Procedure &amp; Transaction Control</w:t>
      </w:r>
    </w:p>
    <w:p>
      <w:pPr>
        <w:spacing w:after="160" w:line="276"/>
        <w:jc w:val="both"/>
      </w:pPr>
      <w:r>
        <w:rPr>
          <w:rFonts w:ascii="Calibri" w:cs="Calibri" w:eastAsia="Calibri" w:hAnsi="Calibri"/>
          <w:color w:val="262626"/>
          <w:sz w:val="21"/>
          <w:szCs w:val="21"/>
        </w:rPr>
        <w:t xml:space="preserve">Transfer_Funds demonstrates atomic fund transfer using START TRANSACTION, SAVEPOINT, COMMIT, and ROLLBACK, with an EXIT HANDLER FOR SQLEXCEPTION ensuring any unexpected error rolls back the entire operation rather than leaving one leg of a transfer applied without the other.</w:t>
      </w:r>
    </w:p>
    <w:p>
      <w:r>
        <w:br w:type="page"/>
      </w:r>
    </w:p>
    <w:p>
      <w:pPr>
        <w:pStyle w:val="Heading1"/>
        <w:pBdr>
          <w:bottom w:val="single" w:color="B3891E" w:sz="12" w:space="4"/>
        </w:pBdr>
        <w:spacing w:after="200" w:before="400"/>
      </w:pPr>
      <w:r>
        <w:rPr>
          <w:rFonts w:ascii="Calibri" w:cs="Calibri" w:eastAsia="Calibri" w:hAnsi="Calibri"/>
          <w:b/>
          <w:bCs/>
          <w:color w:val="1F3864"/>
          <w:sz w:val="30"/>
          <w:szCs w:val="30"/>
        </w:rPr>
        <w:t xml:space="preserve">7. Testing</w:t>
      </w:r>
    </w:p>
    <w:p>
      <w:pPr>
        <w:spacing w:after="160" w:line="276"/>
        <w:jc w:val="both"/>
      </w:pPr>
      <w:r>
        <w:rPr>
          <w:rFonts w:ascii="Calibri" w:cs="Calibri" w:eastAsia="Calibri" w:hAnsi="Calibri"/>
          <w:color w:val="262626"/>
          <w:sz w:val="21"/>
          <w:szCs w:val="21"/>
        </w:rPr>
        <w:t xml:space="preserve">The database was verified using 24 structured manual test cases covering entity, referential, and domain integrity; trigger behavior; the stored procedure's transactional correctness; view updatability; and the accuracy of the relational algebra queries, including the division query. A representative sample is shown below; the complete set is documented in TEST_CASES.md.</w:t>
      </w:r>
    </w:p>
    <w:tbl>
      <w:tblPr>
        <w:tblW w:type="dxa" w:w="9504"/>
        <w:tblBorders>
          <w:top w:val="single" w:color="auto" w:sz="4"/>
          <w:left w:val="single" w:color="auto" w:sz="4"/>
          <w:bottom w:val="single" w:color="auto" w:sz="4"/>
          <w:right w:val="single" w:color="auto" w:sz="4"/>
          <w:insideH w:val="single" w:color="auto" w:sz="4"/>
          <w:insideV w:val="single" w:color="auto" w:sz="4"/>
        </w:tblBorders>
      </w:tblPr>
      <w:tblGrid>
        <w:gridCol w:w="1008"/>
        <w:gridCol w:w="4464"/>
        <w:gridCol w:w="4032"/>
      </w:tblGrid>
      <w:tr>
        <w:trPr>
          <w:tblHeader/>
        </w:trPr>
        <w:tc>
          <w:tcPr>
            <w:tcW w:type="dxa" w:w="1008"/>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ID</w:t>
            </w:r>
          </w:p>
        </w:tc>
        <w:tc>
          <w:tcPr>
            <w:tcW w:type="dxa" w:w="4464"/>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Test Case</w:t>
            </w:r>
          </w:p>
        </w:tc>
        <w:tc>
          <w:tcPr>
            <w:tcW w:type="dxa" w:w="403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Expected Result</w:t>
            </w:r>
          </w:p>
        </w:tc>
      </w:tr>
      <w:tr>
        <w:tc>
          <w:tcPr>
            <w:tcW w:type="dxa" w:w="100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TC-07</w:t>
            </w:r>
          </w:p>
        </w:tc>
        <w:tc>
          <w:tcPr>
            <w:tcW w:type="dxa" w:w="446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Delete a branch with active employees</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Rejected — ON DELETE RESTRICT</w:t>
            </w:r>
          </w:p>
        </w:tc>
      </w:tr>
      <w:tr>
        <w:tc>
          <w:tcPr>
            <w:tcW w:type="dxa" w:w="100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TC-08</w:t>
            </w:r>
          </w:p>
        </w:tc>
        <w:tc>
          <w:tcPr>
            <w:tcW w:type="dxa" w:w="446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Delete an account with nominees</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Nominee rows cascade-deleted (weak entity)</w:t>
            </w:r>
          </w:p>
        </w:tc>
      </w:tr>
      <w:tr>
        <w:tc>
          <w:tcPr>
            <w:tcW w:type="dxa" w:w="100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TC-11</w:t>
            </w:r>
          </w:p>
        </w:tc>
        <w:tc>
          <w:tcPr>
            <w:tcW w:type="dxa" w:w="446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Withdrawal exceeding balance</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Rejected with a custom SIGNAL error message</w:t>
            </w:r>
          </w:p>
        </w:tc>
      </w:tr>
      <w:tr>
        <w:tc>
          <w:tcPr>
            <w:tcW w:type="dxa" w:w="100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TC-16</w:t>
            </w:r>
          </w:p>
        </w:tc>
        <w:tc>
          <w:tcPr>
            <w:tcW w:type="dxa" w:w="446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Successful fund transfer via procedure</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Both account balances update atomically</w:t>
            </w:r>
          </w:p>
        </w:tc>
      </w:tr>
      <w:tr>
        <w:tc>
          <w:tcPr>
            <w:tcW w:type="dxa" w:w="100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TC-17</w:t>
            </w:r>
          </w:p>
        </w:tc>
        <w:tc>
          <w:tcPr>
            <w:tcW w:type="dxa" w:w="446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Transfer with insufficient funds</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Fully rolled back — no partial transfer</w:t>
            </w:r>
          </w:p>
        </w:tc>
      </w:tr>
      <w:tr>
        <w:tc>
          <w:tcPr>
            <w:tcW w:type="dxa" w:w="100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TC-19</w:t>
            </w:r>
          </w:p>
        </w:tc>
        <w:tc>
          <w:tcPr>
            <w:tcW w:type="dxa" w:w="446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Update through an updatable view</w:t>
            </w:r>
          </w:p>
        </w:tc>
        <w:tc>
          <w:tcPr>
            <w:tcW w:type="dxa" w:w="403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Underlying Employee row is updated</w:t>
            </w:r>
          </w:p>
        </w:tc>
      </w:tr>
      <w:tr>
        <w:tc>
          <w:tcPr>
            <w:tcW w:type="dxa" w:w="100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TC-20</w:t>
            </w:r>
          </w:p>
        </w:tc>
        <w:tc>
          <w:tcPr>
            <w:tcW w:type="dxa" w:w="446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Update through an aggregate view</w:t>
            </w:r>
          </w:p>
        </w:tc>
        <w:tc>
          <w:tcPr>
            <w:tcW w:type="dxa" w:w="403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Rejected — view is not updatable</w:t>
            </w:r>
          </w:p>
        </w:tc>
      </w:tr>
    </w:tbl>
    <w:p>
      <w:pPr>
        <w:pStyle w:val="Heading1"/>
        <w:pBdr>
          <w:bottom w:val="single" w:color="B3891E" w:sz="12" w:space="4"/>
        </w:pBdr>
        <w:spacing w:after="200" w:before="400"/>
      </w:pPr>
      <w:r>
        <w:rPr>
          <w:rFonts w:ascii="Calibri" w:cs="Calibri" w:eastAsia="Calibri" w:hAnsi="Calibri"/>
          <w:b/>
          <w:bCs/>
          <w:color w:val="1F3864"/>
          <w:sz w:val="30"/>
          <w:szCs w:val="30"/>
        </w:rPr>
        <w:t xml:space="preserve">8. Sample Output</w:t>
      </w:r>
    </w:p>
    <w:p>
      <w:pPr>
        <w:spacing w:after="160" w:line="276"/>
        <w:jc w:val="both"/>
      </w:pPr>
      <w:r>
        <w:rPr>
          <w:rFonts w:ascii="Calibri" w:cs="Calibri" w:eastAsia="Calibri" w:hAnsi="Calibri"/>
          <w:color w:val="262626"/>
          <w:sz w:val="21"/>
          <w:szCs w:val="21"/>
        </w:rPr>
        <w:t xml:space="preserve">The results below were verified by executing the schema, seed data, and queries against a running database engine; the table structures, keys, and query logic are identical to bank_management_system.sql.</w:t>
      </w:r>
    </w:p>
    <w:p>
      <w:pPr>
        <w:pStyle w:val="Heading2"/>
        <w:spacing w:after="140" w:before="280"/>
      </w:pPr>
      <w:r>
        <w:rPr>
          <w:rFonts w:ascii="Calibri" w:cs="Calibri" w:eastAsia="Calibri" w:hAnsi="Calibri"/>
          <w:b/>
          <w:bCs/>
          <w:color w:val="2E5395"/>
          <w:sz w:val="24"/>
          <w:szCs w:val="24"/>
        </w:rPr>
        <w:t xml:space="preserve">Branch-wise Account Summary</w:t>
      </w:r>
    </w:p>
    <w:tbl>
      <w:tblPr>
        <w:tblW w:type="dxa" w:w="9216"/>
        <w:tblBorders>
          <w:top w:val="single" w:color="auto" w:sz="4"/>
          <w:left w:val="single" w:color="auto" w:sz="4"/>
          <w:bottom w:val="single" w:color="auto" w:sz="4"/>
          <w:right w:val="single" w:color="auto" w:sz="4"/>
          <w:insideH w:val="single" w:color="auto" w:sz="4"/>
          <w:insideV w:val="single" w:color="auto" w:sz="4"/>
        </w:tblBorders>
      </w:tblPr>
      <w:tblGrid>
        <w:gridCol w:w="3024"/>
        <w:gridCol w:w="1872"/>
        <w:gridCol w:w="2160"/>
        <w:gridCol w:w="2160"/>
      </w:tblGrid>
      <w:tr>
        <w:trPr>
          <w:tblHeader/>
        </w:trPr>
        <w:tc>
          <w:tcPr>
            <w:tcW w:type="dxa" w:w="3024"/>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Branch Name</w:t>
            </w:r>
          </w:p>
        </w:tc>
        <w:tc>
          <w:tcPr>
            <w:tcW w:type="dxa" w:w="187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Num. Accounts</w:t>
            </w:r>
          </w:p>
        </w:tc>
        <w:tc>
          <w:tcPr>
            <w:tcW w:type="dxa" w:w="21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Balance</w:t>
            </w:r>
          </w:p>
        </w:tc>
        <w:tc>
          <w:tcPr>
            <w:tcW w:type="dxa" w:w="21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Avg. Balance</w:t>
            </w:r>
          </w:p>
        </w:tc>
      </w:tr>
      <w:tr>
        <w:tc>
          <w:tcPr>
            <w:tcW w:type="dxa" w:w="30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MG Road Branch</w:t>
            </w:r>
          </w:p>
        </w:tc>
        <w:tc>
          <w:tcPr>
            <w:tcW w:type="dxa" w:w="18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3</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175,500.00</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58,500.00</w:t>
            </w:r>
          </w:p>
        </w:tc>
      </w:tr>
      <w:tr>
        <w:tc>
          <w:tcPr>
            <w:tcW w:type="dxa" w:w="302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Andheri Branch</w:t>
            </w:r>
          </w:p>
        </w:tc>
        <w:tc>
          <w:tcPr>
            <w:tcW w:type="dxa" w:w="187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w:t>
            </w:r>
          </w:p>
        </w:tc>
        <w:tc>
          <w:tcPr>
            <w:tcW w:type="dxa" w:w="21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142,000.00</w:t>
            </w:r>
          </w:p>
        </w:tc>
        <w:tc>
          <w:tcPr>
            <w:tcW w:type="dxa" w:w="21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71,000.00</w:t>
            </w:r>
          </w:p>
        </w:tc>
      </w:tr>
      <w:tr>
        <w:tc>
          <w:tcPr>
            <w:tcW w:type="dxa" w:w="302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Connaught Place</w:t>
            </w:r>
          </w:p>
        </w:tc>
        <w:tc>
          <w:tcPr>
            <w:tcW w:type="dxa" w:w="187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68,000.00</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34,000.00</w:t>
            </w:r>
          </w:p>
        </w:tc>
      </w:tr>
    </w:tbl>
    <w:p>
      <w:pPr>
        <w:pStyle w:val="Heading2"/>
        <w:spacing w:after="140" w:before="280"/>
      </w:pPr>
      <w:r>
        <w:rPr>
          <w:rFonts w:ascii="Calibri" w:cs="Calibri" w:eastAsia="Calibri" w:hAnsi="Calibri"/>
          <w:b/>
          <w:bCs/>
          <w:color w:val="2E5395"/>
          <w:sz w:val="24"/>
          <w:szCs w:val="24"/>
        </w:rPr>
        <w:t xml:space="preserve">Total Balance Held by Each Customer</w:t>
      </w:r>
    </w:p>
    <w:tbl>
      <w:tblPr>
        <w:tblW w:type="dxa" w:w="8496"/>
        <w:tblBorders>
          <w:top w:val="single" w:color="auto" w:sz="4"/>
          <w:left w:val="single" w:color="auto" w:sz="4"/>
          <w:bottom w:val="single" w:color="auto" w:sz="4"/>
          <w:right w:val="single" w:color="auto" w:sz="4"/>
          <w:insideH w:val="single" w:color="auto" w:sz="4"/>
          <w:insideV w:val="single" w:color="auto" w:sz="4"/>
        </w:tblBorders>
      </w:tblPr>
      <w:tblGrid>
        <w:gridCol w:w="3312"/>
        <w:gridCol w:w="2304"/>
        <w:gridCol w:w="2880"/>
      </w:tblGrid>
      <w:tr>
        <w:trPr>
          <w:tblHeader/>
        </w:trPr>
        <w:tc>
          <w:tcPr>
            <w:tcW w:type="dxa" w:w="3312"/>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w:t>
            </w:r>
          </w:p>
        </w:tc>
        <w:tc>
          <w:tcPr>
            <w:tcW w:type="dxa" w:w="2304"/>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Num. Accounts</w:t>
            </w:r>
          </w:p>
        </w:tc>
        <w:tc>
          <w:tcPr>
            <w:tcW w:type="dxa" w:w="288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Total Balance</w:t>
            </w:r>
          </w:p>
        </w:tc>
      </w:tr>
      <w:tr>
        <w:tc>
          <w:tcPr>
            <w:tcW w:type="dxa" w:w="331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Aman Joshi</w:t>
            </w:r>
          </w:p>
        </w:tc>
        <w:tc>
          <w:tcPr>
            <w:tcW w:type="dxa" w:w="230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150,000.00</w:t>
            </w:r>
          </w:p>
        </w:tc>
      </w:tr>
      <w:tr>
        <w:tc>
          <w:tcPr>
            <w:tcW w:type="dxa" w:w="331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Divya Menon</w:t>
            </w:r>
          </w:p>
        </w:tc>
        <w:tc>
          <w:tcPr>
            <w:tcW w:type="dxa" w:w="230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w:t>
            </w:r>
          </w:p>
        </w:tc>
        <w:tc>
          <w:tcPr>
            <w:tcW w:type="dxa" w:w="288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100,000.00</w:t>
            </w:r>
          </w:p>
        </w:tc>
      </w:tr>
      <w:tr>
        <w:tc>
          <w:tcPr>
            <w:tcW w:type="dxa" w:w="331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Kavita Iyer</w:t>
            </w:r>
          </w:p>
        </w:tc>
        <w:tc>
          <w:tcPr>
            <w:tcW w:type="dxa" w:w="230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68,000.00</w:t>
            </w:r>
          </w:p>
        </w:tc>
      </w:tr>
      <w:tr>
        <w:tc>
          <w:tcPr>
            <w:tcW w:type="dxa" w:w="331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Manoj Tiwari</w:t>
            </w:r>
          </w:p>
        </w:tc>
        <w:tc>
          <w:tcPr>
            <w:tcW w:type="dxa" w:w="230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w:t>
            </w:r>
          </w:p>
        </w:tc>
        <w:tc>
          <w:tcPr>
            <w:tcW w:type="dxa" w:w="288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60,000.00</w:t>
            </w:r>
          </w:p>
        </w:tc>
      </w:tr>
      <w:tr>
        <w:tc>
          <w:tcPr>
            <w:tcW w:type="dxa" w:w="3312"/>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Sneha Patil</w:t>
            </w:r>
          </w:p>
        </w:tc>
        <w:tc>
          <w:tcPr>
            <w:tcW w:type="dxa" w:w="2304"/>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1</w:t>
            </w:r>
          </w:p>
        </w:tc>
        <w:tc>
          <w:tcPr>
            <w:tcW w:type="dxa" w:w="288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42,000.00</w:t>
            </w:r>
          </w:p>
        </w:tc>
      </w:tr>
      <w:tr>
        <w:tc>
          <w:tcPr>
            <w:tcW w:type="dxa" w:w="3312"/>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Ravi Kumar</w:t>
            </w:r>
          </w:p>
        </w:tc>
        <w:tc>
          <w:tcPr>
            <w:tcW w:type="dxa" w:w="2304"/>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w:t>
            </w:r>
          </w:p>
        </w:tc>
        <w:tc>
          <w:tcPr>
            <w:tcW w:type="dxa" w:w="288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25,500.00</w:t>
            </w:r>
          </w:p>
        </w:tc>
      </w:tr>
    </w:tbl>
    <w:p>
      <w:pPr>
        <w:pStyle w:val="Heading2"/>
        <w:spacing w:after="140" w:before="280"/>
      </w:pPr>
      <w:r>
        <w:rPr>
          <w:rFonts w:ascii="Calibri" w:cs="Calibri" w:eastAsia="Calibri" w:hAnsi="Calibri"/>
          <w:b/>
          <w:bCs/>
          <w:color w:val="2E5395"/>
          <w:sz w:val="24"/>
          <w:szCs w:val="24"/>
        </w:rPr>
        <w:t xml:space="preserve">Active Loans (View_Active_Loans)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160"/>
        <w:gridCol w:w="2448"/>
        <w:gridCol w:w="1727"/>
        <w:gridCol w:w="2160"/>
        <w:gridCol w:w="1440"/>
      </w:tblGrid>
      <w:tr>
        <w:trPr>
          <w:tblHeader/>
        </w:trPr>
        <w:tc>
          <w:tcPr>
            <w:tcW w:type="dxa" w:w="21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Customer</w:t>
            </w:r>
          </w:p>
        </w:tc>
        <w:tc>
          <w:tcPr>
            <w:tcW w:type="dxa" w:w="2448"/>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Branch</w:t>
            </w:r>
          </w:p>
        </w:tc>
        <w:tc>
          <w:tcPr>
            <w:tcW w:type="dxa" w:w="1727"/>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Loan Type</w:t>
            </w:r>
          </w:p>
        </w:tc>
        <w:tc>
          <w:tcPr>
            <w:tcW w:type="dxa" w:w="216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Principal</w:t>
            </w:r>
          </w:p>
        </w:tc>
        <w:tc>
          <w:tcPr>
            <w:tcW w:type="dxa" w:w="1440"/>
            <w:shd w:fill="1F3864" w:val="clear"/>
            <w:tcMar>
              <w:top w:type="dxa" w:w="80"/>
              <w:left w:type="dxa" w:w="120"/>
              <w:bottom w:type="dxa" w:w="80"/>
              <w:right w:type="dxa" w:w="120"/>
            </w:tcMar>
            <w:vAlign w:val="center"/>
          </w:tcPr>
          <w:p>
            <w:pPr>
              <w:jc w:val="center"/>
            </w:pPr>
            <w:r>
              <w:rPr>
                <w:rFonts w:ascii="Calibri" w:cs="Calibri" w:eastAsia="Calibri" w:hAnsi="Calibri"/>
                <w:b/>
                <w:bCs/>
                <w:color w:val="FFFFFF"/>
                <w:sz w:val="20"/>
                <w:szCs w:val="20"/>
              </w:rPr>
              <w:t xml:space="preserve">EMI</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Ravi Kumar</w:t>
            </w:r>
          </w:p>
        </w:tc>
        <w:tc>
          <w:tcPr>
            <w:tcW w:type="dxa" w:w="24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MG Road Branch</w:t>
            </w:r>
          </w:p>
        </w:tc>
        <w:tc>
          <w:tcPr>
            <w:tcW w:type="dxa" w:w="17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PERSONAL</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200,000.00</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5,500.00</w:t>
            </w:r>
          </w:p>
        </w:tc>
      </w:tr>
      <w:tr>
        <w:tc>
          <w:tcPr>
            <w:tcW w:type="dxa" w:w="21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Sneha Patil</w:t>
            </w:r>
          </w:p>
        </w:tc>
        <w:tc>
          <w:tcPr>
            <w:tcW w:type="dxa" w:w="2448"/>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Andheri Branch</w:t>
            </w:r>
          </w:p>
        </w:tc>
        <w:tc>
          <w:tcPr>
            <w:tcW w:type="dxa" w:w="1727"/>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HOME</w:t>
            </w:r>
          </w:p>
        </w:tc>
        <w:tc>
          <w:tcPr>
            <w:tcW w:type="dxa" w:w="216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2,500,000.00</w:t>
            </w:r>
          </w:p>
        </w:tc>
        <w:tc>
          <w:tcPr>
            <w:tcW w:type="dxa" w:w="1440"/>
            <w:shd w:fill="E8EDF6"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21,000.00</w:t>
            </w:r>
          </w:p>
        </w:tc>
      </w:tr>
      <w:tr>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Kavita Iyer</w:t>
            </w:r>
          </w:p>
        </w:tc>
        <w:tc>
          <w:tcPr>
            <w:tcW w:type="dxa" w:w="2448"/>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Connaught Place</w:t>
            </w:r>
          </w:p>
        </w:tc>
        <w:tc>
          <w:tcPr>
            <w:tcW w:type="dxa" w:w="1727"/>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AUTO</w:t>
            </w:r>
          </w:p>
        </w:tc>
        <w:tc>
          <w:tcPr>
            <w:tcW w:type="dxa" w:w="216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600,000.00</w:t>
            </w:r>
          </w:p>
        </w:tc>
        <w:tc>
          <w:tcPr>
            <w:tcW w:type="dxa" w:w="1440"/>
            <w:shd w:fill="FFFFFF" w:val="clear"/>
            <w:tcMar>
              <w:top w:type="dxa" w:w="80"/>
              <w:left w:type="dxa" w:w="120"/>
              <w:bottom w:type="dxa" w:w="80"/>
              <w:right w:type="dxa" w:w="120"/>
            </w:tcMar>
            <w:vAlign w:val="center"/>
          </w:tcPr>
          <w:p>
            <w:pPr>
              <w:jc w:val="left"/>
            </w:pPr>
            <w:r>
              <w:rPr>
                <w:rFonts w:ascii="Calibri" w:cs="Calibri" w:eastAsia="Calibri" w:hAnsi="Calibri"/>
                <w:b w:val="false"/>
                <w:bCs w:val="false"/>
                <w:color w:val="262626"/>
                <w:sz w:val="20"/>
                <w:szCs w:val="20"/>
              </w:rPr>
              <w:t xml:space="preserve">9,000.00</w:t>
            </w:r>
          </w:p>
        </w:tc>
      </w:tr>
    </w:tbl>
    <w:p>
      <w:pPr>
        <w:pBdr>
          <w:left w:val="single" w:color="B3891E" w:sz="18" w:space="8"/>
        </w:pBdr>
        <w:shd w:fill="FBF1DC" w:val="clear"/>
        <w:spacing w:after="160" w:before="120"/>
      </w:pPr>
      <w:r>
        <w:rPr>
          <w:rFonts w:ascii="Calibri" w:cs="Calibri" w:eastAsia="Calibri" w:hAnsi="Calibri"/>
          <w:i/>
          <w:iCs/>
          <w:color w:val="4A4A4A"/>
          <w:sz w:val="20"/>
          <w:szCs w:val="20"/>
        </w:rPr>
        <w:t xml:space="preserve">Relational division check: against the seed data as shipped, the “customers holding every account type” query correctly returns zero rows, since no single customer holds a SAVINGS, a CURRENT, and a FIXED_DEPOSIT account simultaneously. This is the expected result and can be positively verified by adding one account of each missing type for a test customer and re-running the query.</w:t>
      </w:r>
    </w:p>
    <w:p>
      <w:r>
        <w:br w:type="page"/>
      </w:r>
    </w:p>
    <w:p>
      <w:pPr>
        <w:pStyle w:val="Heading1"/>
        <w:pBdr>
          <w:bottom w:val="single" w:color="B3891E" w:sz="12" w:space="4"/>
        </w:pBdr>
        <w:spacing w:after="200" w:before="400"/>
      </w:pPr>
      <w:r>
        <w:rPr>
          <w:rFonts w:ascii="Calibri" w:cs="Calibri" w:eastAsia="Calibri" w:hAnsi="Calibri"/>
          <w:b/>
          <w:bCs/>
          <w:color w:val="1F3864"/>
          <w:sz w:val="30"/>
          <w:szCs w:val="30"/>
        </w:rPr>
        <w:t xml:space="preserve">9. Limitations</w:t>
      </w:r>
    </w:p>
    <w:p>
      <w:pPr>
        <w:pStyle w:val="ListParagraph"/>
        <w:numPr>
          <w:ilvl w:val="0"/>
          <w:numId w:val="2"/>
        </w:numPr>
        <w:spacing w:after="80"/>
      </w:pPr>
      <w:r>
        <w:rPr>
          <w:rFonts w:ascii="Calibri" w:cs="Calibri" w:eastAsia="Calibri" w:hAnsi="Calibri"/>
          <w:color w:val="262626"/>
          <w:sz w:val="21"/>
          <w:szCs w:val="21"/>
        </w:rPr>
        <w:t xml:space="preserve">MySQL has no native CREATE SEQUENCE or CREATE SYNONYM; this project implements documented workarounds (a sequence-generator table with a helper function, and an alias view).</w:t>
      </w:r>
    </w:p>
    <w:p>
      <w:pPr>
        <w:pStyle w:val="ListParagraph"/>
        <w:numPr>
          <w:ilvl w:val="0"/>
          <w:numId w:val="2"/>
        </w:numPr>
        <w:spacing w:after="80"/>
      </w:pPr>
      <w:r>
        <w:rPr>
          <w:rFonts w:ascii="Calibri" w:cs="Calibri" w:eastAsia="Calibri" w:hAnsi="Calibri"/>
          <w:color w:val="262626"/>
          <w:sz w:val="21"/>
          <w:szCs w:val="21"/>
        </w:rPr>
        <w:t xml:space="preserve">INTERSECT and EXCEPT require MySQL 8.0.31 or later.</w:t>
      </w:r>
    </w:p>
    <w:p>
      <w:pPr>
        <w:pStyle w:val="ListParagraph"/>
        <w:numPr>
          <w:ilvl w:val="0"/>
          <w:numId w:val="2"/>
        </w:numPr>
        <w:spacing w:after="80"/>
      </w:pPr>
      <w:r>
        <w:rPr>
          <w:rFonts w:ascii="Calibri" w:cs="Calibri" w:eastAsia="Calibri" w:hAnsi="Calibri"/>
          <w:color w:val="262626"/>
          <w:sz w:val="21"/>
          <w:szCs w:val="21"/>
        </w:rPr>
        <w:t xml:space="preserve">The project models the data layer only — it does not implement an application front-end, authentication, role-based access control, or encryption of stored card numbers, none of which would be acceptable in a production banking system.</w:t>
      </w:r>
    </w:p>
    <w:p>
      <w:pPr>
        <w:pStyle w:val="Heading1"/>
        <w:pBdr>
          <w:bottom w:val="single" w:color="B3891E" w:sz="12" w:space="4"/>
        </w:pBdr>
        <w:spacing w:after="200" w:before="400"/>
      </w:pPr>
      <w:r>
        <w:rPr>
          <w:rFonts w:ascii="Calibri" w:cs="Calibri" w:eastAsia="Calibri" w:hAnsi="Calibri"/>
          <w:b/>
          <w:bCs/>
          <w:color w:val="1F3864"/>
          <w:sz w:val="30"/>
          <w:szCs w:val="30"/>
        </w:rPr>
        <w:t xml:space="preserve">10. Future Scope</w:t>
      </w:r>
    </w:p>
    <w:p>
      <w:pPr>
        <w:pStyle w:val="ListParagraph"/>
        <w:numPr>
          <w:ilvl w:val="0"/>
          <w:numId w:val="2"/>
        </w:numPr>
        <w:spacing w:after="80"/>
      </w:pPr>
      <w:r>
        <w:rPr>
          <w:rFonts w:ascii="Calibri" w:cs="Calibri" w:eastAsia="Calibri" w:hAnsi="Calibri"/>
          <w:color w:val="262626"/>
          <w:sz w:val="21"/>
          <w:szCs w:val="21"/>
        </w:rPr>
        <w:t xml:space="preserve">Role-based access control via GRANT/REVOKE for tellers, loan officers, and branch managers.</w:t>
      </w:r>
    </w:p>
    <w:p>
      <w:pPr>
        <w:pStyle w:val="ListParagraph"/>
        <w:numPr>
          <w:ilvl w:val="0"/>
          <w:numId w:val="2"/>
        </w:numPr>
        <w:spacing w:after="80"/>
      </w:pPr>
      <w:r>
        <w:rPr>
          <w:rFonts w:ascii="Calibri" w:cs="Calibri" w:eastAsia="Calibri" w:hAnsi="Calibri"/>
          <w:color w:val="262626"/>
          <w:sz w:val="21"/>
          <w:szCs w:val="21"/>
        </w:rPr>
        <w:t xml:space="preserve">A front-end application (web or desktop) built on top of this schema.</w:t>
      </w:r>
    </w:p>
    <w:p>
      <w:pPr>
        <w:pStyle w:val="ListParagraph"/>
        <w:numPr>
          <w:ilvl w:val="0"/>
          <w:numId w:val="2"/>
        </w:numPr>
        <w:spacing w:after="80"/>
      </w:pPr>
      <w:r>
        <w:rPr>
          <w:rFonts w:ascii="Calibri" w:cs="Calibri" w:eastAsia="Calibri" w:hAnsi="Calibri"/>
          <w:color w:val="262626"/>
          <w:sz w:val="21"/>
          <w:szCs w:val="21"/>
        </w:rPr>
        <w:t xml:space="preserve">Automated EMI schedule generation via a dedicated stored procedure.</w:t>
      </w:r>
    </w:p>
    <w:p>
      <w:pPr>
        <w:pStyle w:val="ListParagraph"/>
        <w:numPr>
          <w:ilvl w:val="0"/>
          <w:numId w:val="2"/>
        </w:numPr>
        <w:spacing w:after="80"/>
      </w:pPr>
      <w:r>
        <w:rPr>
          <w:rFonts w:ascii="Calibri" w:cs="Calibri" w:eastAsia="Calibri" w:hAnsi="Calibri"/>
          <w:color w:val="262626"/>
          <w:sz w:val="21"/>
          <w:szCs w:val="21"/>
        </w:rPr>
        <w:t xml:space="preserve">Partitioning the Transaction table by date for larger data volumes.</w:t>
      </w:r>
    </w:p>
    <w:p>
      <w:pPr>
        <w:pStyle w:val="Heading1"/>
        <w:pBdr>
          <w:bottom w:val="single" w:color="B3891E" w:sz="12" w:space="4"/>
        </w:pBdr>
        <w:spacing w:after="200" w:before="400"/>
      </w:pPr>
      <w:r>
        <w:rPr>
          <w:rFonts w:ascii="Calibri" w:cs="Calibri" w:eastAsia="Calibri" w:hAnsi="Calibri"/>
          <w:b/>
          <w:bCs/>
          <w:color w:val="1F3864"/>
          <w:sz w:val="30"/>
          <w:szCs w:val="30"/>
        </w:rPr>
        <w:t xml:space="preserve">11. Conclusion</w:t>
      </w:r>
    </w:p>
    <w:p>
      <w:pPr>
        <w:spacing w:after="160" w:line="276"/>
        <w:jc w:val="both"/>
      </w:pPr>
      <w:r>
        <w:rPr>
          <w:rFonts w:ascii="Calibri" w:cs="Calibri" w:eastAsia="Calibri" w:hAnsi="Calibri"/>
          <w:color w:val="262626"/>
          <w:sz w:val="21"/>
          <w:szCs w:val="21"/>
        </w:rPr>
        <w:t xml:space="preserve">This project demonstrates a complete, working application of relational database theory to a realistic domain. Every major topic in the course syllabus — ER modeling, weak entities, normalization through 4NF, Codd's rules, relational algebra, and advanced SQL (views, triggers, stored procedures, and transaction control) — is implemented, tested, and documented rather than merely described. The result is a self-contained, runnable MySQL script accompanied by design documentation and a test suite, suitable both for academic evaluation and as a reference implementation for future coursework.</w:t>
      </w:r>
    </w:p>
    <w:p>
      <w:pPr>
        <w:pStyle w:val="Heading1"/>
        <w:pBdr>
          <w:bottom w:val="single" w:color="B3891E" w:sz="12" w:space="4"/>
        </w:pBdr>
        <w:spacing w:after="200" w:before="400"/>
      </w:pPr>
      <w:r>
        <w:rPr>
          <w:rFonts w:ascii="Calibri" w:cs="Calibri" w:eastAsia="Calibri" w:hAnsi="Calibri"/>
          <w:b/>
          <w:bCs/>
          <w:color w:val="1F3864"/>
          <w:sz w:val="30"/>
          <w:szCs w:val="30"/>
        </w:rPr>
        <w:t xml:space="preserve">12. References</w:t>
      </w:r>
    </w:p>
    <w:p>
      <w:pPr>
        <w:pStyle w:val="ListParagraph"/>
        <w:numPr>
          <w:ilvl w:val="0"/>
          <w:numId w:val="2"/>
        </w:numPr>
        <w:spacing w:after="80"/>
      </w:pPr>
      <w:r>
        <w:rPr>
          <w:rFonts w:ascii="Calibri" w:cs="Calibri" w:eastAsia="Calibri" w:hAnsi="Calibri"/>
          <w:color w:val="262626"/>
          <w:sz w:val="21"/>
          <w:szCs w:val="21"/>
        </w:rPr>
        <w:t xml:space="preserve">Silberschatz, A., Korth, H. F., &amp; Sudarshan, S. Database System Concepts. McGraw-Hill Education.</w:t>
      </w:r>
    </w:p>
    <w:p>
      <w:pPr>
        <w:pStyle w:val="ListParagraph"/>
        <w:numPr>
          <w:ilvl w:val="0"/>
          <w:numId w:val="2"/>
        </w:numPr>
        <w:spacing w:after="80"/>
      </w:pPr>
      <w:r>
        <w:rPr>
          <w:rFonts w:ascii="Calibri" w:cs="Calibri" w:eastAsia="Calibri" w:hAnsi="Calibri"/>
          <w:color w:val="262626"/>
          <w:sz w:val="21"/>
          <w:szCs w:val="21"/>
        </w:rPr>
        <w:t xml:space="preserve">Elmasri, R., &amp; Navathe, S. B. Fundamentals of Database Systems. Pearson.</w:t>
      </w:r>
    </w:p>
    <w:p>
      <w:pPr>
        <w:pStyle w:val="ListParagraph"/>
        <w:numPr>
          <w:ilvl w:val="0"/>
          <w:numId w:val="2"/>
        </w:numPr>
        <w:spacing w:after="80"/>
      </w:pPr>
      <w:r>
        <w:rPr>
          <w:rFonts w:ascii="Calibri" w:cs="Calibri" w:eastAsia="Calibri" w:hAnsi="Calibri"/>
          <w:color w:val="262626"/>
          <w:sz w:val="21"/>
          <w:szCs w:val="21"/>
        </w:rPr>
        <w:t xml:space="preserve">Codd, E. F. “A Relational Model of Data for Large Shared Data Banks.” Communications of the ACM, 1970.</w:t>
      </w:r>
    </w:p>
    <w:p>
      <w:pPr>
        <w:pStyle w:val="ListParagraph"/>
        <w:numPr>
          <w:ilvl w:val="0"/>
          <w:numId w:val="2"/>
        </w:numPr>
        <w:spacing w:after="80"/>
      </w:pPr>
      <w:r>
        <w:rPr>
          <w:rFonts w:ascii="Calibri" w:cs="Calibri" w:eastAsia="Calibri" w:hAnsi="Calibri"/>
          <w:color w:val="262626"/>
          <w:sz w:val="21"/>
          <w:szCs w:val="21"/>
        </w:rPr>
        <w:t xml:space="preserve">MySQL 8.0 Reference Manual — dev.mysql.com/doc/refman/8.0/en/</w:t>
      </w:r>
    </w:p>
    <w:sectPr>
      <w:headerReference w:type="default" r:id="rId11"/>
      <w:footerReference w:type="default" r:id="rId12"/>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i/>
        <w:iCs/>
        <w:color w:val="595959"/>
        <w:sz w:val="16"/>
        <w:szCs w:val="16"/>
      </w:rPr>
      <w:t xml:space="preserve">Bank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color w:val="B3891E"/>
      </w:rPr>
    </w:lvl>
    <w:lvl w:ilvl="1" w15:tentative="1">
      <w:start w:val="1"/>
      <w:numFmt w:val="bullet"/>
      <w:lvlText w:val="–"/>
      <w:lvlJc w:val="left"/>
      <w:pPr>
        <w:ind w:left="93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2026-10-04T05:35:16.809Z</dcterms:created>
  <dcterms:modified xsi:type="dcterms:W3CDTF">2026-10-04T05:35:16.816Z</dcterms:modified>
</cp:coreProperties>
</file>

<file path=docProps/custom.xml><?xml version="1.0" encoding="utf-8"?>
<Properties xmlns="http://schemas.openxmlformats.org/officeDocument/2006/custom-properties" xmlns:vt="http://schemas.openxmlformats.org/officeDocument/2006/docPropsVTypes"/>
</file>