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FFAE5" w14:textId="77777777" w:rsidR="00A964AC" w:rsidRDefault="00A964AC" w:rsidP="00A964AC">
      <w:pPr>
        <w:pStyle w:val="Title"/>
      </w:pPr>
      <w:r>
        <w:t>EDA / Descriptive Statistics</w:t>
      </w:r>
    </w:p>
    <w:p w14:paraId="5098DBC3" w14:textId="77777777" w:rsidR="00A964AC" w:rsidRPr="00651A0C" w:rsidRDefault="00A964AC" w:rsidP="00A964AC"/>
    <w:p w14:paraId="1333A700" w14:textId="77777777" w:rsidR="00A964AC" w:rsidRDefault="00A964AC" w:rsidP="00A964AC">
      <w:pPr>
        <w:pStyle w:val="Heading2"/>
      </w:pPr>
      <w:r>
        <w:t>Introduction:</w:t>
      </w:r>
    </w:p>
    <w:p w14:paraId="241552BB" w14:textId="656AC385" w:rsidR="00A964AC" w:rsidRDefault="00A86D61" w:rsidP="00A964AC">
      <w:r w:rsidRPr="00A86D61">
        <w:t>In-Vitro Fertilization (IVF) is one of the most widely used assisted reproductive technologies for treating infertility. IVF treatment involves multiple stages, including patient assessment, hormonal stimulation, oocyte retrieval, fertilization, embryo transfer, and pregnancy outcome monitoring. Each stage generates a significant amount of clinical, hormonal, embryological, and outcome-related data, making IVF a data-intensive healthcare process.</w:t>
      </w:r>
    </w:p>
    <w:p w14:paraId="4BDBB363" w14:textId="467DB049" w:rsidR="003334E4" w:rsidRDefault="003334E4" w:rsidP="00A964AC"/>
    <w:p w14:paraId="5EE0B9C2" w14:textId="6E432E20" w:rsidR="003334E4" w:rsidRDefault="003334E4" w:rsidP="00A964AC"/>
    <w:p w14:paraId="224D7BFC" w14:textId="77777777" w:rsidR="003334E4" w:rsidRDefault="003334E4" w:rsidP="00A964AC"/>
    <w:p w14:paraId="61139265" w14:textId="119A3DDA" w:rsidR="00A964AC" w:rsidRDefault="00A964AC" w:rsidP="00A964AC">
      <w:pPr>
        <w:pStyle w:val="Heading2"/>
      </w:pPr>
      <w:r>
        <w:t>Overall design strategy</w:t>
      </w:r>
      <w:r w:rsidR="003334E4">
        <w:t>:</w:t>
      </w:r>
    </w:p>
    <w:p w14:paraId="4A0A4992" w14:textId="77777777" w:rsidR="00A86D61" w:rsidRDefault="00A86D61" w:rsidP="00A86D61">
      <w:r>
        <w:t>The data used for analyzing IVF treatment outcomes consists of multiple datasets capturing patient demographics, hormonal profiles, embryology details, treatment protocols, and pregnancy outcomes. The combined data spans several hundred IVF cycles, with each record representing patient-level or cycle-level clinical information collected at different stages of the IVF process.</w:t>
      </w:r>
    </w:p>
    <w:p w14:paraId="07B553E3" w14:textId="77777777" w:rsidR="00A86D61" w:rsidRDefault="00A86D61" w:rsidP="00A86D61"/>
    <w:p w14:paraId="525FE9E1" w14:textId="77777777" w:rsidR="00A86D61" w:rsidRDefault="00A86D61" w:rsidP="00A86D61">
      <w:r>
        <w:t>Since the data exists at different granularities (patient-level and cycle-level), separate analytical datasets were created to ensure accurate interpretation of results. Patient-level data was used for outcome analysis, while cycle-level and embryology data were analyzed independently and later combined where necessary using validated patient and cycle identifiers. Both raw datasets and derived analytical tables were utilized to perform descriptive analysis and support visualization requirements.</w:t>
      </w:r>
    </w:p>
    <w:p w14:paraId="449C4257" w14:textId="77777777" w:rsidR="00A86D61" w:rsidRDefault="00A86D61" w:rsidP="00A86D61"/>
    <w:p w14:paraId="39A9E922" w14:textId="77777777" w:rsidR="00A86D61" w:rsidRDefault="00A86D61" w:rsidP="00A86D61">
      <w:r>
        <w:t>After data preparation and cleaning, key performance indicators (KPIs) such as clinical pregnancy rate, live birth rate, miscarriage rate, and multiple pregnancy rate were defined to monitor IVF outcomes. Consistent visual encoding was applied across dashboards to improve interpretability, where green indicates successful outcomes (clinical pregnancy or live birth) and red indicates unsuccessful outcomes or treatment drop-offs.</w:t>
      </w:r>
    </w:p>
    <w:p w14:paraId="46619BE9" w14:textId="77777777" w:rsidR="00A86D61" w:rsidRDefault="00A86D61" w:rsidP="00A86D61"/>
    <w:p w14:paraId="1B434C65" w14:textId="29A71C54" w:rsidR="00A964AC" w:rsidRDefault="00A86D61" w:rsidP="00A86D61">
      <w:r>
        <w:t>For dashboard design consistency, a uniform layout and formatting approach was followed. Standard fonts were used for titles, axis labels, and annotations to maintain readability across all visualizations. A neutral background color was selected to ensure clarity, while outcome-based color highlights were applied selectively to emphasize critical insights in charts and tooltips.</w:t>
      </w:r>
    </w:p>
    <w:p w14:paraId="7FD674A3" w14:textId="65439CB9" w:rsidR="00A964AC" w:rsidRDefault="00A964AC" w:rsidP="00A964AC">
      <w:pPr>
        <w:pStyle w:val="Heading2"/>
      </w:pPr>
      <w:r>
        <w:lastRenderedPageBreak/>
        <w:t>Data Overview</w:t>
      </w:r>
      <w:r w:rsidR="003334E4">
        <w:t>:</w:t>
      </w:r>
    </w:p>
    <w:p w14:paraId="2DF3503D" w14:textId="77777777" w:rsidR="003334E4" w:rsidRPr="003334E4" w:rsidRDefault="003334E4" w:rsidP="003334E4">
      <w:pPr>
        <w:pStyle w:val="Heading2"/>
        <w:rPr>
          <w:rFonts w:asciiTheme="minorHAnsi" w:eastAsiaTheme="minorEastAsia" w:hAnsiTheme="minorHAnsi" w:cstheme="minorBidi"/>
          <w:color w:val="auto"/>
          <w:sz w:val="22"/>
          <w:szCs w:val="22"/>
        </w:rPr>
      </w:pPr>
      <w:r w:rsidRPr="003334E4">
        <w:rPr>
          <w:rFonts w:asciiTheme="minorHAnsi" w:eastAsiaTheme="minorEastAsia" w:hAnsiTheme="minorHAnsi" w:cstheme="minorBidi"/>
          <w:color w:val="auto"/>
          <w:sz w:val="22"/>
          <w:szCs w:val="22"/>
        </w:rPr>
        <w:t>The data used for this project was collected from structured IVF treatment records and reports, which contain detailed information related to patient demographics, hormonal profiles, embryology parameters, treatment protocols, and pregnancy outcomes. The datasets represent real-world clinical data captured across multiple stages of the IVF treatment lifecycle.</w:t>
      </w:r>
    </w:p>
    <w:p w14:paraId="6A5A0B00" w14:textId="77777777" w:rsidR="003334E4" w:rsidRPr="003334E4" w:rsidRDefault="003334E4" w:rsidP="003334E4">
      <w:pPr>
        <w:pStyle w:val="Heading2"/>
        <w:rPr>
          <w:rFonts w:asciiTheme="minorHAnsi" w:eastAsiaTheme="minorEastAsia" w:hAnsiTheme="minorHAnsi" w:cstheme="minorBidi"/>
          <w:color w:val="auto"/>
          <w:sz w:val="22"/>
          <w:szCs w:val="22"/>
        </w:rPr>
      </w:pPr>
    </w:p>
    <w:p w14:paraId="1B64ECD9" w14:textId="77777777" w:rsidR="003334E4" w:rsidRPr="003334E4" w:rsidRDefault="003334E4" w:rsidP="003334E4">
      <w:pPr>
        <w:pStyle w:val="Heading2"/>
        <w:rPr>
          <w:rFonts w:asciiTheme="minorHAnsi" w:eastAsiaTheme="minorEastAsia" w:hAnsiTheme="minorHAnsi" w:cstheme="minorBidi"/>
          <w:color w:val="auto"/>
          <w:sz w:val="22"/>
          <w:szCs w:val="22"/>
        </w:rPr>
      </w:pPr>
      <w:r w:rsidRPr="003334E4">
        <w:rPr>
          <w:rFonts w:asciiTheme="minorHAnsi" w:eastAsiaTheme="minorEastAsia" w:hAnsiTheme="minorHAnsi" w:cstheme="minorBidi"/>
          <w:color w:val="auto"/>
          <w:sz w:val="22"/>
          <w:szCs w:val="22"/>
        </w:rPr>
        <w:t>The primary datasets include patient-level and cycle-level IVF data, where each record corresponds to an individual IVF cycle or clinical observation for a patient. The combined data consists of several hundred records, covering key variables such as age, hormonal markers (AMH, FSH, Estradiol), number of oocytes retrieved, embryo development details, and treatment outcomes including biochemical pregnancy, clinical pregnancy, live birth, miscarriage, and multiple pregnancy.</w:t>
      </w:r>
    </w:p>
    <w:p w14:paraId="09DEFF40" w14:textId="77777777" w:rsidR="003334E4" w:rsidRPr="003334E4" w:rsidRDefault="003334E4" w:rsidP="003334E4">
      <w:pPr>
        <w:pStyle w:val="Heading2"/>
        <w:rPr>
          <w:rFonts w:asciiTheme="minorHAnsi" w:eastAsiaTheme="minorEastAsia" w:hAnsiTheme="minorHAnsi" w:cstheme="minorBidi"/>
          <w:color w:val="auto"/>
          <w:sz w:val="22"/>
          <w:szCs w:val="22"/>
        </w:rPr>
      </w:pPr>
    </w:p>
    <w:p w14:paraId="4AF2F97D" w14:textId="77777777" w:rsidR="003334E4" w:rsidRPr="003334E4" w:rsidRDefault="003334E4" w:rsidP="003334E4">
      <w:pPr>
        <w:pStyle w:val="Heading2"/>
        <w:rPr>
          <w:rFonts w:asciiTheme="minorHAnsi" w:eastAsiaTheme="minorEastAsia" w:hAnsiTheme="minorHAnsi" w:cstheme="minorBidi"/>
          <w:color w:val="auto"/>
          <w:sz w:val="22"/>
          <w:szCs w:val="22"/>
        </w:rPr>
      </w:pPr>
      <w:r w:rsidRPr="003334E4">
        <w:rPr>
          <w:rFonts w:asciiTheme="minorHAnsi" w:eastAsiaTheme="minorEastAsia" w:hAnsiTheme="minorHAnsi" w:cstheme="minorBidi"/>
          <w:color w:val="auto"/>
          <w:sz w:val="22"/>
          <w:szCs w:val="22"/>
        </w:rPr>
        <w:t>The data was originally available in multiple Excel files, each representing a specific clinical or operational aspect of the IVF process. During the analysis phase, these datasets were reviewed independently and then joined using common identifiers such as Patient ID and Cycle ID to enable comprehensive exploratory data analysis and visualization.</w:t>
      </w:r>
    </w:p>
    <w:p w14:paraId="665A15F0" w14:textId="77777777" w:rsidR="003334E4" w:rsidRPr="003334E4" w:rsidRDefault="003334E4" w:rsidP="003334E4">
      <w:pPr>
        <w:pStyle w:val="Heading2"/>
        <w:rPr>
          <w:rFonts w:asciiTheme="minorHAnsi" w:eastAsiaTheme="minorEastAsia" w:hAnsiTheme="minorHAnsi" w:cstheme="minorBidi"/>
          <w:color w:val="auto"/>
          <w:sz w:val="22"/>
          <w:szCs w:val="22"/>
        </w:rPr>
      </w:pPr>
    </w:p>
    <w:p w14:paraId="10275BD7" w14:textId="77777777" w:rsidR="003334E4" w:rsidRDefault="003334E4" w:rsidP="003334E4">
      <w:pPr>
        <w:pStyle w:val="Heading2"/>
        <w:rPr>
          <w:rFonts w:asciiTheme="minorHAnsi" w:eastAsiaTheme="minorEastAsia" w:hAnsiTheme="minorHAnsi" w:cstheme="minorBidi"/>
          <w:color w:val="auto"/>
          <w:sz w:val="22"/>
          <w:szCs w:val="22"/>
        </w:rPr>
      </w:pPr>
      <w:r w:rsidRPr="003334E4">
        <w:rPr>
          <w:rFonts w:asciiTheme="minorHAnsi" w:eastAsiaTheme="minorEastAsia" w:hAnsiTheme="minorHAnsi" w:cstheme="minorBidi"/>
          <w:color w:val="auto"/>
          <w:sz w:val="22"/>
          <w:szCs w:val="22"/>
        </w:rPr>
        <w:t>After the data was loaded into the analytical environment, additional derived datasets were created by aggregating cycle-level information to the patient level where required. These transformed datasets were used to support descriptive analysis, KPI computation, and dashboard development for IVF outcome monitoring.</w:t>
      </w:r>
    </w:p>
    <w:p w14:paraId="475AB894" w14:textId="77777777" w:rsidR="003334E4" w:rsidRDefault="003334E4" w:rsidP="003334E4">
      <w:pPr>
        <w:pStyle w:val="Heading2"/>
        <w:rPr>
          <w:rFonts w:asciiTheme="minorHAnsi" w:eastAsiaTheme="minorEastAsia" w:hAnsiTheme="minorHAnsi" w:cstheme="minorBidi"/>
          <w:color w:val="auto"/>
          <w:sz w:val="22"/>
          <w:szCs w:val="22"/>
        </w:rPr>
      </w:pPr>
    </w:p>
    <w:p w14:paraId="68D94500" w14:textId="22889C27" w:rsidR="00A964AC" w:rsidRDefault="00A964AC" w:rsidP="003334E4">
      <w:pPr>
        <w:pStyle w:val="Heading2"/>
      </w:pPr>
      <w:r>
        <w:t>Users</w:t>
      </w:r>
      <w:r w:rsidR="003334E4">
        <w:t>:</w:t>
      </w:r>
    </w:p>
    <w:p w14:paraId="7842C609" w14:textId="77777777" w:rsidR="003334E4" w:rsidRPr="003334E4" w:rsidRDefault="003334E4" w:rsidP="003334E4">
      <w:pPr>
        <w:pStyle w:val="Heading2"/>
        <w:rPr>
          <w:rFonts w:asciiTheme="minorHAnsi" w:eastAsiaTheme="minorEastAsia" w:hAnsiTheme="minorHAnsi" w:cstheme="minorBidi"/>
          <w:color w:val="auto"/>
          <w:sz w:val="22"/>
          <w:szCs w:val="22"/>
        </w:rPr>
      </w:pPr>
      <w:r w:rsidRPr="003334E4">
        <w:rPr>
          <w:rFonts w:asciiTheme="minorHAnsi" w:eastAsiaTheme="minorEastAsia" w:hAnsiTheme="minorHAnsi" w:cstheme="minorBidi"/>
          <w:color w:val="auto"/>
          <w:sz w:val="22"/>
          <w:szCs w:val="22"/>
        </w:rPr>
        <w:t>Users of the IVF outcome monitoring and visualization dashboards include:</w:t>
      </w:r>
    </w:p>
    <w:p w14:paraId="34B44719" w14:textId="77777777" w:rsidR="003334E4" w:rsidRPr="003334E4" w:rsidRDefault="003334E4" w:rsidP="003334E4">
      <w:pPr>
        <w:pStyle w:val="Heading2"/>
        <w:numPr>
          <w:ilvl w:val="0"/>
          <w:numId w:val="3"/>
        </w:numPr>
        <w:rPr>
          <w:rFonts w:asciiTheme="minorHAnsi" w:eastAsiaTheme="minorEastAsia" w:hAnsiTheme="minorHAnsi" w:cstheme="minorBidi"/>
          <w:b/>
          <w:bCs/>
          <w:color w:val="auto"/>
          <w:sz w:val="22"/>
          <w:szCs w:val="22"/>
        </w:rPr>
      </w:pPr>
      <w:r w:rsidRPr="003334E4">
        <w:rPr>
          <w:rFonts w:asciiTheme="minorHAnsi" w:eastAsiaTheme="minorEastAsia" w:hAnsiTheme="minorHAnsi" w:cstheme="minorBidi"/>
          <w:b/>
          <w:bCs/>
          <w:color w:val="auto"/>
          <w:sz w:val="22"/>
          <w:szCs w:val="22"/>
        </w:rPr>
        <w:t>Fertility Specialists / Clinicians:</w:t>
      </w:r>
    </w:p>
    <w:p w14:paraId="03185F6E" w14:textId="77777777" w:rsidR="003334E4" w:rsidRPr="003334E4" w:rsidRDefault="003334E4" w:rsidP="003334E4">
      <w:pPr>
        <w:pStyle w:val="Heading2"/>
        <w:rPr>
          <w:rFonts w:asciiTheme="minorHAnsi" w:eastAsiaTheme="minorEastAsia" w:hAnsiTheme="minorHAnsi" w:cstheme="minorBidi"/>
          <w:color w:val="auto"/>
          <w:sz w:val="22"/>
          <w:szCs w:val="22"/>
        </w:rPr>
      </w:pPr>
      <w:r w:rsidRPr="003334E4">
        <w:rPr>
          <w:rFonts w:asciiTheme="minorHAnsi" w:eastAsiaTheme="minorEastAsia" w:hAnsiTheme="minorHAnsi" w:cstheme="minorBidi"/>
          <w:color w:val="auto"/>
          <w:sz w:val="22"/>
          <w:szCs w:val="22"/>
        </w:rPr>
        <w:t>Fertility doctors can use these dashboards to analyze IVF treatment outcomes, identify factors affecting clinical pregnancy and live birth rates, and evaluate the effectiveness of different treatment protocols. These insights support informed clinical decision-making and personalized treatment planning.</w:t>
      </w:r>
    </w:p>
    <w:p w14:paraId="5911AE2A" w14:textId="77777777" w:rsidR="003334E4" w:rsidRPr="003334E4" w:rsidRDefault="003334E4" w:rsidP="003334E4">
      <w:pPr>
        <w:pStyle w:val="Heading2"/>
        <w:numPr>
          <w:ilvl w:val="0"/>
          <w:numId w:val="3"/>
        </w:numPr>
        <w:rPr>
          <w:rFonts w:asciiTheme="minorHAnsi" w:eastAsiaTheme="minorEastAsia" w:hAnsiTheme="minorHAnsi" w:cstheme="minorBidi"/>
          <w:b/>
          <w:bCs/>
          <w:color w:val="auto"/>
          <w:sz w:val="22"/>
          <w:szCs w:val="22"/>
        </w:rPr>
      </w:pPr>
      <w:r w:rsidRPr="003334E4">
        <w:rPr>
          <w:rFonts w:asciiTheme="minorHAnsi" w:eastAsiaTheme="minorEastAsia" w:hAnsiTheme="minorHAnsi" w:cstheme="minorBidi"/>
          <w:b/>
          <w:bCs/>
          <w:color w:val="auto"/>
          <w:sz w:val="22"/>
          <w:szCs w:val="22"/>
        </w:rPr>
        <w:t>Embryologists:</w:t>
      </w:r>
    </w:p>
    <w:p w14:paraId="16536BBC" w14:textId="77777777" w:rsidR="003334E4" w:rsidRPr="003334E4" w:rsidRDefault="003334E4" w:rsidP="003334E4">
      <w:pPr>
        <w:pStyle w:val="Heading2"/>
        <w:rPr>
          <w:rFonts w:asciiTheme="minorHAnsi" w:eastAsiaTheme="minorEastAsia" w:hAnsiTheme="minorHAnsi" w:cstheme="minorBidi"/>
          <w:color w:val="auto"/>
          <w:sz w:val="22"/>
          <w:szCs w:val="22"/>
        </w:rPr>
      </w:pPr>
      <w:r w:rsidRPr="003334E4">
        <w:rPr>
          <w:rFonts w:asciiTheme="minorHAnsi" w:eastAsiaTheme="minorEastAsia" w:hAnsiTheme="minorHAnsi" w:cstheme="minorBidi"/>
          <w:color w:val="auto"/>
          <w:sz w:val="22"/>
          <w:szCs w:val="22"/>
        </w:rPr>
        <w:t>Embryologists can utilize the visualizations to monitor embryology performance indicators such as fertilization rates, embryo development, and embryo transfer outcomes, helping them assess laboratory efficiency and embryo quality trends.</w:t>
      </w:r>
    </w:p>
    <w:p w14:paraId="1958DA0D" w14:textId="77777777" w:rsidR="003334E4" w:rsidRPr="003334E4" w:rsidRDefault="003334E4" w:rsidP="003334E4">
      <w:pPr>
        <w:pStyle w:val="Heading2"/>
        <w:numPr>
          <w:ilvl w:val="0"/>
          <w:numId w:val="3"/>
        </w:numPr>
        <w:rPr>
          <w:rFonts w:asciiTheme="minorHAnsi" w:eastAsiaTheme="minorEastAsia" w:hAnsiTheme="minorHAnsi" w:cstheme="minorBidi"/>
          <w:b/>
          <w:bCs/>
          <w:color w:val="auto"/>
          <w:sz w:val="22"/>
          <w:szCs w:val="22"/>
        </w:rPr>
      </w:pPr>
      <w:r w:rsidRPr="003334E4">
        <w:rPr>
          <w:rFonts w:asciiTheme="minorHAnsi" w:eastAsiaTheme="minorEastAsia" w:hAnsiTheme="minorHAnsi" w:cstheme="minorBidi"/>
          <w:b/>
          <w:bCs/>
          <w:color w:val="auto"/>
          <w:sz w:val="22"/>
          <w:szCs w:val="22"/>
        </w:rPr>
        <w:t>IVF Center Management / Administrators:</w:t>
      </w:r>
    </w:p>
    <w:p w14:paraId="00B1D488" w14:textId="77777777" w:rsidR="003334E4" w:rsidRPr="003334E4" w:rsidRDefault="003334E4" w:rsidP="003334E4">
      <w:pPr>
        <w:pStyle w:val="Heading2"/>
        <w:rPr>
          <w:rFonts w:asciiTheme="minorHAnsi" w:eastAsiaTheme="minorEastAsia" w:hAnsiTheme="minorHAnsi" w:cstheme="minorBidi"/>
          <w:color w:val="auto"/>
          <w:sz w:val="22"/>
          <w:szCs w:val="22"/>
        </w:rPr>
      </w:pPr>
      <w:r w:rsidRPr="003334E4">
        <w:rPr>
          <w:rFonts w:asciiTheme="minorHAnsi" w:eastAsiaTheme="minorEastAsia" w:hAnsiTheme="minorHAnsi" w:cstheme="minorBidi"/>
          <w:color w:val="auto"/>
          <w:sz w:val="22"/>
          <w:szCs w:val="22"/>
        </w:rPr>
        <w:t>Management teams can use the dashboards to track overall clinic performance, success rates, and outcome trends over time. This helps in operational planning, reporting, and benchmarking IVF success metrics.</w:t>
      </w:r>
    </w:p>
    <w:p w14:paraId="41331489" w14:textId="77777777" w:rsidR="003334E4" w:rsidRPr="003334E4" w:rsidRDefault="003334E4" w:rsidP="003334E4">
      <w:pPr>
        <w:pStyle w:val="Heading2"/>
        <w:numPr>
          <w:ilvl w:val="0"/>
          <w:numId w:val="3"/>
        </w:numPr>
        <w:rPr>
          <w:rFonts w:asciiTheme="minorHAnsi" w:eastAsiaTheme="minorEastAsia" w:hAnsiTheme="minorHAnsi" w:cstheme="minorBidi"/>
          <w:b/>
          <w:bCs/>
          <w:color w:val="auto"/>
          <w:sz w:val="22"/>
          <w:szCs w:val="22"/>
        </w:rPr>
      </w:pPr>
      <w:r w:rsidRPr="003334E4">
        <w:rPr>
          <w:rFonts w:asciiTheme="minorHAnsi" w:eastAsiaTheme="minorEastAsia" w:hAnsiTheme="minorHAnsi" w:cstheme="minorBidi"/>
          <w:b/>
          <w:bCs/>
          <w:color w:val="auto"/>
          <w:sz w:val="22"/>
          <w:szCs w:val="22"/>
        </w:rPr>
        <w:t>Patients (High-Level View):</w:t>
      </w:r>
    </w:p>
    <w:p w14:paraId="5FA7AF46" w14:textId="3D5219C9" w:rsidR="003334E4" w:rsidRDefault="003334E4" w:rsidP="003334E4">
      <w:pPr>
        <w:pStyle w:val="Heading2"/>
        <w:rPr>
          <w:rFonts w:asciiTheme="minorHAnsi" w:eastAsiaTheme="minorEastAsia" w:hAnsiTheme="minorHAnsi" w:cstheme="minorBidi"/>
          <w:color w:val="auto"/>
          <w:sz w:val="22"/>
          <w:szCs w:val="22"/>
        </w:rPr>
      </w:pPr>
      <w:r w:rsidRPr="003334E4">
        <w:rPr>
          <w:rFonts w:asciiTheme="minorHAnsi" w:eastAsiaTheme="minorEastAsia" w:hAnsiTheme="minorHAnsi" w:cstheme="minorBidi"/>
          <w:color w:val="auto"/>
          <w:sz w:val="22"/>
          <w:szCs w:val="22"/>
        </w:rPr>
        <w:t>Aggregated and anonymized insights can be used to provide patients with a high-level understanding of treatment outcomes and success trends, supporting transparency and patient education.</w:t>
      </w:r>
    </w:p>
    <w:p w14:paraId="11B40D0A" w14:textId="4364E404" w:rsidR="003334E4" w:rsidRDefault="003334E4" w:rsidP="003334E4"/>
    <w:p w14:paraId="108C4DD0" w14:textId="77777777" w:rsidR="003334E4" w:rsidRPr="003334E4" w:rsidRDefault="003334E4" w:rsidP="003334E4"/>
    <w:p w14:paraId="47F52491" w14:textId="77777777" w:rsidR="003334E4" w:rsidRDefault="003334E4" w:rsidP="00A964AC">
      <w:pPr>
        <w:pStyle w:val="Heading2"/>
      </w:pPr>
    </w:p>
    <w:p w14:paraId="493E38F3" w14:textId="3235A42C" w:rsidR="00A964AC" w:rsidRDefault="00A964AC" w:rsidP="00A964AC">
      <w:pPr>
        <w:pStyle w:val="Heading2"/>
      </w:pPr>
      <w:r>
        <w:t>Questions</w:t>
      </w:r>
      <w:r w:rsidR="003334E4">
        <w:t>:</w:t>
      </w:r>
    </w:p>
    <w:p w14:paraId="2993F58A" w14:textId="77777777" w:rsidR="00F879B5" w:rsidRPr="00F879B5" w:rsidRDefault="00F879B5" w:rsidP="00F879B5">
      <w:pPr>
        <w:pStyle w:val="Heading2"/>
        <w:rPr>
          <w:rFonts w:asciiTheme="minorHAnsi" w:eastAsiaTheme="minorEastAsia" w:hAnsiTheme="minorHAnsi" w:cstheme="minorBidi"/>
          <w:b/>
          <w:color w:val="auto"/>
          <w:sz w:val="22"/>
          <w:szCs w:val="22"/>
        </w:rPr>
      </w:pPr>
      <w:r w:rsidRPr="00F879B5">
        <w:rPr>
          <w:rFonts w:asciiTheme="minorHAnsi" w:eastAsiaTheme="minorEastAsia" w:hAnsiTheme="minorHAnsi" w:cstheme="minorBidi"/>
          <w:b/>
          <w:color w:val="auto"/>
          <w:sz w:val="22"/>
          <w:szCs w:val="22"/>
        </w:rPr>
        <w:t>Clinicians / Fertility Specialists:</w:t>
      </w:r>
    </w:p>
    <w:p w14:paraId="2C3F872D" w14:textId="77777777" w:rsidR="00F879B5" w:rsidRPr="00F879B5" w:rsidRDefault="00F879B5" w:rsidP="00F879B5">
      <w:pPr>
        <w:pStyle w:val="Heading2"/>
        <w:numPr>
          <w:ilvl w:val="0"/>
          <w:numId w:val="3"/>
        </w:numPr>
        <w:rPr>
          <w:rFonts w:asciiTheme="minorHAnsi" w:eastAsiaTheme="minorEastAsia" w:hAnsiTheme="minorHAnsi" w:cstheme="minorBidi"/>
          <w:bCs/>
          <w:color w:val="auto"/>
          <w:sz w:val="22"/>
          <w:szCs w:val="22"/>
        </w:rPr>
      </w:pPr>
      <w:r w:rsidRPr="00F879B5">
        <w:rPr>
          <w:rFonts w:asciiTheme="minorHAnsi" w:eastAsiaTheme="minorEastAsia" w:hAnsiTheme="minorHAnsi" w:cstheme="minorBidi"/>
          <w:bCs/>
          <w:color w:val="auto"/>
          <w:sz w:val="22"/>
          <w:szCs w:val="22"/>
        </w:rPr>
        <w:t>What is the overall trend in IVF treatment outcomes over time?</w:t>
      </w:r>
    </w:p>
    <w:p w14:paraId="1C318D3C" w14:textId="77777777" w:rsidR="00F879B5" w:rsidRPr="00F879B5" w:rsidRDefault="00F879B5" w:rsidP="00F879B5">
      <w:pPr>
        <w:pStyle w:val="Heading2"/>
        <w:numPr>
          <w:ilvl w:val="0"/>
          <w:numId w:val="3"/>
        </w:numPr>
        <w:rPr>
          <w:rFonts w:asciiTheme="minorHAnsi" w:eastAsiaTheme="minorEastAsia" w:hAnsiTheme="minorHAnsi" w:cstheme="minorBidi"/>
          <w:bCs/>
          <w:color w:val="auto"/>
          <w:sz w:val="22"/>
          <w:szCs w:val="22"/>
        </w:rPr>
      </w:pPr>
      <w:r w:rsidRPr="00F879B5">
        <w:rPr>
          <w:rFonts w:asciiTheme="minorHAnsi" w:eastAsiaTheme="minorEastAsia" w:hAnsiTheme="minorHAnsi" w:cstheme="minorBidi"/>
          <w:bCs/>
          <w:color w:val="auto"/>
          <w:sz w:val="22"/>
          <w:szCs w:val="22"/>
        </w:rPr>
        <w:t>Which IVF cycles resulted in successful outcomes and which resulted in unsuccessful outcomes?</w:t>
      </w:r>
    </w:p>
    <w:p w14:paraId="34040001" w14:textId="77777777" w:rsidR="00F879B5" w:rsidRPr="00F879B5" w:rsidRDefault="00F879B5" w:rsidP="00F879B5">
      <w:pPr>
        <w:pStyle w:val="Heading2"/>
        <w:numPr>
          <w:ilvl w:val="0"/>
          <w:numId w:val="3"/>
        </w:numPr>
        <w:rPr>
          <w:rFonts w:asciiTheme="minorHAnsi" w:eastAsiaTheme="minorEastAsia" w:hAnsiTheme="minorHAnsi" w:cstheme="minorBidi"/>
          <w:bCs/>
          <w:color w:val="auto"/>
          <w:sz w:val="22"/>
          <w:szCs w:val="22"/>
        </w:rPr>
      </w:pPr>
      <w:r w:rsidRPr="00F879B5">
        <w:rPr>
          <w:rFonts w:asciiTheme="minorHAnsi" w:eastAsiaTheme="minorEastAsia" w:hAnsiTheme="minorHAnsi" w:cstheme="minorBidi"/>
          <w:bCs/>
          <w:color w:val="auto"/>
          <w:sz w:val="22"/>
          <w:szCs w:val="22"/>
        </w:rPr>
        <w:t>Which patient and treatment factors are associated with higher IVF success rates?</w:t>
      </w:r>
    </w:p>
    <w:p w14:paraId="0586C510" w14:textId="1BF5CEF3" w:rsidR="00F879B5" w:rsidRPr="00F879B5" w:rsidRDefault="00F879B5" w:rsidP="00F879B5">
      <w:pPr>
        <w:pStyle w:val="Heading2"/>
        <w:numPr>
          <w:ilvl w:val="0"/>
          <w:numId w:val="3"/>
        </w:numPr>
        <w:rPr>
          <w:rFonts w:asciiTheme="minorHAnsi" w:eastAsiaTheme="minorEastAsia" w:hAnsiTheme="minorHAnsi" w:cstheme="minorBidi"/>
          <w:bCs/>
          <w:color w:val="auto"/>
          <w:sz w:val="22"/>
          <w:szCs w:val="22"/>
        </w:rPr>
      </w:pPr>
      <w:r w:rsidRPr="00F879B5">
        <w:rPr>
          <w:rFonts w:asciiTheme="minorHAnsi" w:eastAsiaTheme="minorEastAsia" w:hAnsiTheme="minorHAnsi" w:cstheme="minorBidi"/>
          <w:bCs/>
          <w:color w:val="auto"/>
          <w:sz w:val="22"/>
          <w:szCs w:val="22"/>
        </w:rPr>
        <w:t>How do IVF outcomes vary across different age groups and treatment protocols?</w:t>
      </w:r>
    </w:p>
    <w:p w14:paraId="24DB2021" w14:textId="77777777" w:rsidR="00F879B5" w:rsidRPr="00F879B5" w:rsidRDefault="00F879B5" w:rsidP="00F879B5">
      <w:pPr>
        <w:pStyle w:val="Heading2"/>
        <w:rPr>
          <w:rFonts w:asciiTheme="minorHAnsi" w:eastAsiaTheme="minorEastAsia" w:hAnsiTheme="minorHAnsi" w:cstheme="minorBidi"/>
          <w:b/>
          <w:color w:val="auto"/>
          <w:sz w:val="22"/>
          <w:szCs w:val="22"/>
        </w:rPr>
      </w:pPr>
      <w:r w:rsidRPr="00F879B5">
        <w:rPr>
          <w:rFonts w:asciiTheme="minorHAnsi" w:eastAsiaTheme="minorEastAsia" w:hAnsiTheme="minorHAnsi" w:cstheme="minorBidi"/>
          <w:b/>
          <w:color w:val="auto"/>
          <w:sz w:val="22"/>
          <w:szCs w:val="22"/>
        </w:rPr>
        <w:t>Embryologists:</w:t>
      </w:r>
    </w:p>
    <w:p w14:paraId="056C59C6" w14:textId="77777777" w:rsidR="00F879B5" w:rsidRPr="00F879B5" w:rsidRDefault="00F879B5" w:rsidP="00F879B5">
      <w:pPr>
        <w:pStyle w:val="Heading2"/>
        <w:numPr>
          <w:ilvl w:val="0"/>
          <w:numId w:val="4"/>
        </w:numPr>
        <w:rPr>
          <w:rFonts w:asciiTheme="minorHAnsi" w:eastAsiaTheme="minorEastAsia" w:hAnsiTheme="minorHAnsi" w:cstheme="minorBidi"/>
          <w:bCs/>
          <w:color w:val="auto"/>
          <w:sz w:val="22"/>
          <w:szCs w:val="22"/>
        </w:rPr>
      </w:pPr>
      <w:r w:rsidRPr="00F879B5">
        <w:rPr>
          <w:rFonts w:asciiTheme="minorHAnsi" w:eastAsiaTheme="minorEastAsia" w:hAnsiTheme="minorHAnsi" w:cstheme="minorBidi"/>
          <w:bCs/>
          <w:color w:val="auto"/>
          <w:sz w:val="22"/>
          <w:szCs w:val="22"/>
        </w:rPr>
        <w:t>How do embryology metrics such as oocyte retrieval, fertilization, and embryo development vary across IVF cycles?</w:t>
      </w:r>
    </w:p>
    <w:p w14:paraId="28BCB4DB" w14:textId="77777777" w:rsidR="00F879B5" w:rsidRPr="00F879B5" w:rsidRDefault="00F879B5" w:rsidP="00F879B5">
      <w:pPr>
        <w:pStyle w:val="Heading2"/>
        <w:numPr>
          <w:ilvl w:val="0"/>
          <w:numId w:val="4"/>
        </w:numPr>
        <w:rPr>
          <w:rFonts w:asciiTheme="minorHAnsi" w:eastAsiaTheme="minorEastAsia" w:hAnsiTheme="minorHAnsi" w:cstheme="minorBidi"/>
          <w:bCs/>
          <w:color w:val="auto"/>
          <w:sz w:val="22"/>
          <w:szCs w:val="22"/>
        </w:rPr>
      </w:pPr>
      <w:r w:rsidRPr="00F879B5">
        <w:rPr>
          <w:rFonts w:asciiTheme="minorHAnsi" w:eastAsiaTheme="minorEastAsia" w:hAnsiTheme="minorHAnsi" w:cstheme="minorBidi"/>
          <w:bCs/>
          <w:color w:val="auto"/>
          <w:sz w:val="22"/>
          <w:szCs w:val="22"/>
        </w:rPr>
        <w:t>What is the embryo transfer success rate based on the number and stage of embryos transferred?</w:t>
      </w:r>
    </w:p>
    <w:p w14:paraId="6A730AAD" w14:textId="77777777" w:rsidR="00F879B5" w:rsidRPr="00F879B5" w:rsidRDefault="00F879B5" w:rsidP="00F879B5">
      <w:pPr>
        <w:pStyle w:val="Heading2"/>
        <w:numPr>
          <w:ilvl w:val="0"/>
          <w:numId w:val="4"/>
        </w:numPr>
        <w:rPr>
          <w:rFonts w:asciiTheme="minorHAnsi" w:eastAsiaTheme="minorEastAsia" w:hAnsiTheme="minorHAnsi" w:cstheme="minorBidi"/>
          <w:bCs/>
          <w:color w:val="auto"/>
          <w:sz w:val="22"/>
          <w:szCs w:val="22"/>
        </w:rPr>
      </w:pPr>
      <w:r w:rsidRPr="00F879B5">
        <w:rPr>
          <w:rFonts w:asciiTheme="minorHAnsi" w:eastAsiaTheme="minorEastAsia" w:hAnsiTheme="minorHAnsi" w:cstheme="minorBidi"/>
          <w:bCs/>
          <w:color w:val="auto"/>
          <w:sz w:val="22"/>
          <w:szCs w:val="22"/>
        </w:rPr>
        <w:t>Against which treatment conditions does embryology performance improve or decline?</w:t>
      </w:r>
    </w:p>
    <w:p w14:paraId="5A6D75DF" w14:textId="77777777" w:rsidR="00F879B5" w:rsidRPr="00F879B5" w:rsidRDefault="00F879B5" w:rsidP="00F879B5">
      <w:pPr>
        <w:pStyle w:val="Heading2"/>
        <w:rPr>
          <w:rFonts w:asciiTheme="minorHAnsi" w:eastAsiaTheme="minorEastAsia" w:hAnsiTheme="minorHAnsi" w:cstheme="minorBidi"/>
          <w:b/>
          <w:color w:val="auto"/>
          <w:sz w:val="22"/>
          <w:szCs w:val="22"/>
        </w:rPr>
      </w:pPr>
      <w:r w:rsidRPr="00F879B5">
        <w:rPr>
          <w:rFonts w:asciiTheme="minorHAnsi" w:eastAsiaTheme="minorEastAsia" w:hAnsiTheme="minorHAnsi" w:cstheme="minorBidi"/>
          <w:b/>
          <w:color w:val="auto"/>
          <w:sz w:val="22"/>
          <w:szCs w:val="22"/>
        </w:rPr>
        <w:t>IVF Center Management:</w:t>
      </w:r>
    </w:p>
    <w:p w14:paraId="344FE2D9" w14:textId="77777777" w:rsidR="00F879B5" w:rsidRPr="00F879B5" w:rsidRDefault="00F879B5" w:rsidP="00F879B5">
      <w:pPr>
        <w:pStyle w:val="Heading2"/>
        <w:numPr>
          <w:ilvl w:val="0"/>
          <w:numId w:val="5"/>
        </w:numPr>
        <w:rPr>
          <w:rFonts w:asciiTheme="minorHAnsi" w:eastAsiaTheme="minorEastAsia" w:hAnsiTheme="minorHAnsi" w:cstheme="minorBidi"/>
          <w:bCs/>
          <w:color w:val="auto"/>
          <w:sz w:val="22"/>
          <w:szCs w:val="22"/>
        </w:rPr>
      </w:pPr>
      <w:r w:rsidRPr="00F879B5">
        <w:rPr>
          <w:rFonts w:asciiTheme="minorHAnsi" w:eastAsiaTheme="minorEastAsia" w:hAnsiTheme="minorHAnsi" w:cstheme="minorBidi"/>
          <w:bCs/>
          <w:color w:val="auto"/>
          <w:sz w:val="22"/>
          <w:szCs w:val="22"/>
        </w:rPr>
        <w:t xml:space="preserve">What </w:t>
      </w:r>
      <w:proofErr w:type="gramStart"/>
      <w:r w:rsidRPr="00F879B5">
        <w:rPr>
          <w:rFonts w:asciiTheme="minorHAnsi" w:eastAsiaTheme="minorEastAsia" w:hAnsiTheme="minorHAnsi" w:cstheme="minorBidi"/>
          <w:bCs/>
          <w:color w:val="auto"/>
          <w:sz w:val="22"/>
          <w:szCs w:val="22"/>
        </w:rPr>
        <w:t>are</w:t>
      </w:r>
      <w:proofErr w:type="gramEnd"/>
      <w:r w:rsidRPr="00F879B5">
        <w:rPr>
          <w:rFonts w:asciiTheme="minorHAnsi" w:eastAsiaTheme="minorEastAsia" w:hAnsiTheme="minorHAnsi" w:cstheme="minorBidi"/>
          <w:bCs/>
          <w:color w:val="auto"/>
          <w:sz w:val="22"/>
          <w:szCs w:val="22"/>
        </w:rPr>
        <w:t xml:space="preserve"> the clinic-level success rates for clinical pregnancy and live birth?</w:t>
      </w:r>
    </w:p>
    <w:p w14:paraId="77BE7BD1" w14:textId="77777777" w:rsidR="00F879B5" w:rsidRPr="00F879B5" w:rsidRDefault="00F879B5" w:rsidP="00F879B5">
      <w:pPr>
        <w:pStyle w:val="Heading2"/>
        <w:numPr>
          <w:ilvl w:val="0"/>
          <w:numId w:val="5"/>
        </w:numPr>
        <w:rPr>
          <w:rFonts w:asciiTheme="minorHAnsi" w:eastAsiaTheme="minorEastAsia" w:hAnsiTheme="minorHAnsi" w:cstheme="minorBidi"/>
          <w:bCs/>
          <w:color w:val="auto"/>
          <w:sz w:val="22"/>
          <w:szCs w:val="22"/>
        </w:rPr>
      </w:pPr>
      <w:r w:rsidRPr="00F879B5">
        <w:rPr>
          <w:rFonts w:asciiTheme="minorHAnsi" w:eastAsiaTheme="minorEastAsia" w:hAnsiTheme="minorHAnsi" w:cstheme="minorBidi"/>
          <w:bCs/>
          <w:color w:val="auto"/>
          <w:sz w:val="22"/>
          <w:szCs w:val="22"/>
        </w:rPr>
        <w:t>Where do major drop-offs occur in the IVF treatment funnel?</w:t>
      </w:r>
    </w:p>
    <w:p w14:paraId="61A0EAB9" w14:textId="77777777" w:rsidR="00F879B5" w:rsidRPr="00F879B5" w:rsidRDefault="00F879B5" w:rsidP="00F879B5">
      <w:pPr>
        <w:pStyle w:val="Heading2"/>
        <w:numPr>
          <w:ilvl w:val="0"/>
          <w:numId w:val="5"/>
        </w:numPr>
        <w:rPr>
          <w:rFonts w:asciiTheme="minorHAnsi" w:eastAsiaTheme="minorEastAsia" w:hAnsiTheme="minorHAnsi" w:cstheme="minorBidi"/>
          <w:bCs/>
          <w:color w:val="auto"/>
          <w:sz w:val="22"/>
          <w:szCs w:val="22"/>
        </w:rPr>
      </w:pPr>
      <w:r w:rsidRPr="00F879B5">
        <w:rPr>
          <w:rFonts w:asciiTheme="minorHAnsi" w:eastAsiaTheme="minorEastAsia" w:hAnsiTheme="minorHAnsi" w:cstheme="minorBidi"/>
          <w:bCs/>
          <w:color w:val="auto"/>
          <w:sz w:val="22"/>
          <w:szCs w:val="22"/>
        </w:rPr>
        <w:t>How does clinic performance vary across time periods and patient categories?</w:t>
      </w:r>
    </w:p>
    <w:p w14:paraId="23C373D1" w14:textId="77777777" w:rsidR="004E09AC" w:rsidRDefault="004E09AC" w:rsidP="00F879B5">
      <w:pPr>
        <w:pStyle w:val="Heading2"/>
        <w:rPr>
          <w:rFonts w:asciiTheme="minorHAnsi" w:eastAsiaTheme="minorEastAsia" w:hAnsiTheme="minorHAnsi" w:cstheme="minorBidi"/>
          <w:b/>
          <w:color w:val="auto"/>
          <w:sz w:val="22"/>
          <w:szCs w:val="22"/>
        </w:rPr>
      </w:pPr>
    </w:p>
    <w:p w14:paraId="0B751F7B" w14:textId="4033F179" w:rsidR="00F879B5" w:rsidRPr="00F879B5" w:rsidRDefault="00F879B5" w:rsidP="00F879B5">
      <w:pPr>
        <w:pStyle w:val="Heading2"/>
        <w:rPr>
          <w:rFonts w:asciiTheme="minorHAnsi" w:eastAsiaTheme="minorEastAsia" w:hAnsiTheme="minorHAnsi" w:cstheme="minorBidi"/>
          <w:b/>
          <w:color w:val="auto"/>
          <w:sz w:val="22"/>
          <w:szCs w:val="22"/>
        </w:rPr>
      </w:pPr>
      <w:r w:rsidRPr="00F879B5">
        <w:rPr>
          <w:rFonts w:asciiTheme="minorHAnsi" w:eastAsiaTheme="minorEastAsia" w:hAnsiTheme="minorHAnsi" w:cstheme="minorBidi"/>
          <w:b/>
          <w:color w:val="auto"/>
          <w:sz w:val="22"/>
          <w:szCs w:val="22"/>
        </w:rPr>
        <w:t>Describe Visualization and How It Answers the Questions</w:t>
      </w:r>
    </w:p>
    <w:p w14:paraId="27455CC5" w14:textId="77777777" w:rsidR="00F879B5" w:rsidRPr="00F879B5" w:rsidRDefault="00F879B5" w:rsidP="00F879B5">
      <w:pPr>
        <w:pStyle w:val="Heading2"/>
        <w:rPr>
          <w:rFonts w:asciiTheme="minorHAnsi" w:eastAsiaTheme="minorEastAsia" w:hAnsiTheme="minorHAnsi" w:cstheme="minorBidi"/>
          <w:b/>
          <w:color w:val="auto"/>
          <w:sz w:val="22"/>
          <w:szCs w:val="22"/>
        </w:rPr>
      </w:pPr>
      <w:r w:rsidRPr="00F879B5">
        <w:rPr>
          <w:rFonts w:asciiTheme="minorHAnsi" w:eastAsiaTheme="minorEastAsia" w:hAnsiTheme="minorHAnsi" w:cstheme="minorBidi"/>
          <w:b/>
          <w:color w:val="auto"/>
          <w:sz w:val="22"/>
          <w:szCs w:val="22"/>
        </w:rPr>
        <w:t>IVF Outcomes Overview:</w:t>
      </w:r>
    </w:p>
    <w:p w14:paraId="2B04B60D" w14:textId="77777777" w:rsidR="00F879B5" w:rsidRPr="004E09AC" w:rsidRDefault="00F879B5" w:rsidP="004E09AC">
      <w:pPr>
        <w:pStyle w:val="Heading2"/>
        <w:numPr>
          <w:ilvl w:val="0"/>
          <w:numId w:val="6"/>
        </w:numPr>
        <w:rPr>
          <w:rFonts w:asciiTheme="minorHAnsi" w:eastAsiaTheme="minorEastAsia" w:hAnsiTheme="minorHAnsi" w:cstheme="minorBidi"/>
          <w:bCs/>
          <w:color w:val="auto"/>
          <w:sz w:val="22"/>
          <w:szCs w:val="22"/>
        </w:rPr>
      </w:pPr>
      <w:r w:rsidRPr="004E09AC">
        <w:rPr>
          <w:rFonts w:asciiTheme="minorHAnsi" w:eastAsiaTheme="minorEastAsia" w:hAnsiTheme="minorHAnsi" w:cstheme="minorBidi"/>
          <w:bCs/>
          <w:color w:val="auto"/>
          <w:sz w:val="22"/>
          <w:szCs w:val="22"/>
        </w:rPr>
        <w:t>What is the trend in IVF treatment outcomes?</w:t>
      </w:r>
    </w:p>
    <w:p w14:paraId="6EC8EB4F" w14:textId="77777777" w:rsidR="00F879B5" w:rsidRPr="004E09AC" w:rsidRDefault="00F879B5" w:rsidP="004E09AC">
      <w:pPr>
        <w:pStyle w:val="Heading2"/>
        <w:numPr>
          <w:ilvl w:val="0"/>
          <w:numId w:val="6"/>
        </w:numPr>
        <w:rPr>
          <w:rFonts w:asciiTheme="minorHAnsi" w:eastAsiaTheme="minorEastAsia" w:hAnsiTheme="minorHAnsi" w:cstheme="minorBidi"/>
          <w:bCs/>
          <w:color w:val="auto"/>
          <w:sz w:val="22"/>
          <w:szCs w:val="22"/>
        </w:rPr>
      </w:pPr>
      <w:r w:rsidRPr="004E09AC">
        <w:rPr>
          <w:rFonts w:asciiTheme="minorHAnsi" w:eastAsiaTheme="minorEastAsia" w:hAnsiTheme="minorHAnsi" w:cstheme="minorBidi"/>
          <w:bCs/>
          <w:color w:val="auto"/>
          <w:sz w:val="22"/>
          <w:szCs w:val="22"/>
        </w:rPr>
        <w:t>A time-series visualization displays IVF outcomes such as biochemical pregnancy, clinical pregnancy, and live birth rates across different time periods.</w:t>
      </w:r>
    </w:p>
    <w:p w14:paraId="2CF826B1" w14:textId="77777777" w:rsidR="00F879B5" w:rsidRPr="004E09AC" w:rsidRDefault="00F879B5" w:rsidP="004E09AC">
      <w:pPr>
        <w:pStyle w:val="Heading2"/>
        <w:numPr>
          <w:ilvl w:val="0"/>
          <w:numId w:val="6"/>
        </w:numPr>
        <w:rPr>
          <w:rFonts w:asciiTheme="minorHAnsi" w:eastAsiaTheme="minorEastAsia" w:hAnsiTheme="minorHAnsi" w:cstheme="minorBidi"/>
          <w:bCs/>
          <w:color w:val="auto"/>
          <w:sz w:val="22"/>
          <w:szCs w:val="22"/>
        </w:rPr>
      </w:pPr>
      <w:r w:rsidRPr="004E09AC">
        <w:rPr>
          <w:rFonts w:asciiTheme="minorHAnsi" w:eastAsiaTheme="minorEastAsia" w:hAnsiTheme="minorHAnsi" w:cstheme="minorBidi"/>
          <w:bCs/>
          <w:color w:val="auto"/>
          <w:sz w:val="22"/>
          <w:szCs w:val="22"/>
        </w:rPr>
        <w:t>This visualization allows clinicians to observe trends, improvements, or declines in IVF success over time.</w:t>
      </w:r>
    </w:p>
    <w:p w14:paraId="46F12AD8" w14:textId="77777777" w:rsidR="00F879B5" w:rsidRPr="004E09AC" w:rsidRDefault="00F879B5" w:rsidP="004E09AC">
      <w:pPr>
        <w:pStyle w:val="Heading2"/>
        <w:numPr>
          <w:ilvl w:val="0"/>
          <w:numId w:val="6"/>
        </w:numPr>
        <w:rPr>
          <w:rFonts w:asciiTheme="minorHAnsi" w:eastAsiaTheme="minorEastAsia" w:hAnsiTheme="minorHAnsi" w:cstheme="minorBidi"/>
          <w:bCs/>
          <w:color w:val="auto"/>
          <w:sz w:val="22"/>
          <w:szCs w:val="22"/>
        </w:rPr>
      </w:pPr>
      <w:r w:rsidRPr="004E09AC">
        <w:rPr>
          <w:rFonts w:asciiTheme="minorHAnsi" w:eastAsiaTheme="minorEastAsia" w:hAnsiTheme="minorHAnsi" w:cstheme="minorBidi"/>
          <w:bCs/>
          <w:color w:val="auto"/>
          <w:sz w:val="22"/>
          <w:szCs w:val="22"/>
        </w:rPr>
        <w:t>Outcome metrics are compared against overall clinic averages to provide context on performance consistency.</w:t>
      </w:r>
    </w:p>
    <w:p w14:paraId="450427F3" w14:textId="77777777" w:rsidR="00F879B5" w:rsidRPr="00F879B5" w:rsidRDefault="00F879B5" w:rsidP="00F879B5">
      <w:pPr>
        <w:pStyle w:val="Heading2"/>
        <w:rPr>
          <w:rFonts w:asciiTheme="minorHAnsi" w:eastAsiaTheme="minorEastAsia" w:hAnsiTheme="minorHAnsi" w:cstheme="minorBidi"/>
          <w:b/>
          <w:color w:val="auto"/>
          <w:sz w:val="22"/>
          <w:szCs w:val="22"/>
        </w:rPr>
      </w:pPr>
      <w:r w:rsidRPr="00F879B5">
        <w:rPr>
          <w:rFonts w:asciiTheme="minorHAnsi" w:eastAsiaTheme="minorEastAsia" w:hAnsiTheme="minorHAnsi" w:cstheme="minorBidi"/>
          <w:b/>
          <w:color w:val="auto"/>
          <w:sz w:val="22"/>
          <w:szCs w:val="22"/>
        </w:rPr>
        <w:t>Which IVF cycles resulted in successful and unsuccessful outcomes?</w:t>
      </w:r>
    </w:p>
    <w:p w14:paraId="4B7D7962" w14:textId="77777777" w:rsidR="00F879B5" w:rsidRPr="004E09AC" w:rsidRDefault="00F879B5" w:rsidP="004E09AC">
      <w:pPr>
        <w:pStyle w:val="Heading2"/>
        <w:numPr>
          <w:ilvl w:val="0"/>
          <w:numId w:val="7"/>
        </w:numPr>
        <w:rPr>
          <w:rFonts w:asciiTheme="minorHAnsi" w:eastAsiaTheme="minorEastAsia" w:hAnsiTheme="minorHAnsi" w:cstheme="minorBidi"/>
          <w:bCs/>
          <w:color w:val="auto"/>
          <w:sz w:val="22"/>
          <w:szCs w:val="22"/>
        </w:rPr>
      </w:pPr>
      <w:r w:rsidRPr="004E09AC">
        <w:rPr>
          <w:rFonts w:asciiTheme="minorHAnsi" w:eastAsiaTheme="minorEastAsia" w:hAnsiTheme="minorHAnsi" w:cstheme="minorBidi"/>
          <w:bCs/>
          <w:color w:val="auto"/>
          <w:sz w:val="22"/>
          <w:szCs w:val="22"/>
        </w:rPr>
        <w:t>Bar charts and KPI cards highlight the distribution of IVF outcomes, including successful pregnancies, miscarriages, and failed cycles.</w:t>
      </w:r>
    </w:p>
    <w:p w14:paraId="27A671DB" w14:textId="77777777" w:rsidR="00F879B5" w:rsidRPr="004E09AC" w:rsidRDefault="00F879B5" w:rsidP="004E09AC">
      <w:pPr>
        <w:pStyle w:val="Heading2"/>
        <w:numPr>
          <w:ilvl w:val="0"/>
          <w:numId w:val="7"/>
        </w:numPr>
        <w:rPr>
          <w:rFonts w:asciiTheme="minorHAnsi" w:eastAsiaTheme="minorEastAsia" w:hAnsiTheme="minorHAnsi" w:cstheme="minorBidi"/>
          <w:bCs/>
          <w:color w:val="auto"/>
          <w:sz w:val="22"/>
          <w:szCs w:val="22"/>
        </w:rPr>
      </w:pPr>
      <w:r w:rsidRPr="004E09AC">
        <w:rPr>
          <w:rFonts w:asciiTheme="minorHAnsi" w:eastAsiaTheme="minorEastAsia" w:hAnsiTheme="minorHAnsi" w:cstheme="minorBidi"/>
          <w:bCs/>
          <w:color w:val="auto"/>
          <w:sz w:val="22"/>
          <w:szCs w:val="22"/>
        </w:rPr>
        <w:t>These visualizations help identify patterns in successful versus unsuccessful cycles and support root-cause analysis.</w:t>
      </w:r>
    </w:p>
    <w:p w14:paraId="1000C2F8" w14:textId="77777777" w:rsidR="00F879B5" w:rsidRPr="00F879B5" w:rsidRDefault="00F879B5" w:rsidP="00F879B5">
      <w:pPr>
        <w:pStyle w:val="Heading2"/>
        <w:rPr>
          <w:rFonts w:asciiTheme="minorHAnsi" w:eastAsiaTheme="minorEastAsia" w:hAnsiTheme="minorHAnsi" w:cstheme="minorBidi"/>
          <w:b/>
          <w:color w:val="auto"/>
          <w:sz w:val="22"/>
          <w:szCs w:val="22"/>
        </w:rPr>
      </w:pPr>
      <w:r w:rsidRPr="00F879B5">
        <w:rPr>
          <w:rFonts w:asciiTheme="minorHAnsi" w:eastAsiaTheme="minorEastAsia" w:hAnsiTheme="minorHAnsi" w:cstheme="minorBidi"/>
          <w:b/>
          <w:color w:val="auto"/>
          <w:sz w:val="22"/>
          <w:szCs w:val="22"/>
        </w:rPr>
        <w:t>Which patient and treatment factors influence IVF success?</w:t>
      </w:r>
    </w:p>
    <w:p w14:paraId="084459BF" w14:textId="77777777" w:rsidR="00F879B5" w:rsidRPr="004E09AC" w:rsidRDefault="00F879B5" w:rsidP="004E09AC">
      <w:pPr>
        <w:pStyle w:val="Heading2"/>
        <w:numPr>
          <w:ilvl w:val="0"/>
          <w:numId w:val="8"/>
        </w:numPr>
        <w:rPr>
          <w:rFonts w:asciiTheme="minorHAnsi" w:eastAsiaTheme="minorEastAsia" w:hAnsiTheme="minorHAnsi" w:cstheme="minorBidi"/>
          <w:bCs/>
          <w:color w:val="auto"/>
          <w:sz w:val="22"/>
          <w:szCs w:val="22"/>
        </w:rPr>
      </w:pPr>
      <w:r w:rsidRPr="004E09AC">
        <w:rPr>
          <w:rFonts w:asciiTheme="minorHAnsi" w:eastAsiaTheme="minorEastAsia" w:hAnsiTheme="minorHAnsi" w:cstheme="minorBidi"/>
          <w:bCs/>
          <w:color w:val="auto"/>
          <w:sz w:val="22"/>
          <w:szCs w:val="22"/>
        </w:rPr>
        <w:t>Comparative charts show IVF success rates across age groups, AMH levels, and treatment protocols.</w:t>
      </w:r>
    </w:p>
    <w:p w14:paraId="4133A9F6" w14:textId="77777777" w:rsidR="00F879B5" w:rsidRPr="004E09AC" w:rsidRDefault="00F879B5" w:rsidP="004E09AC">
      <w:pPr>
        <w:pStyle w:val="Heading2"/>
        <w:numPr>
          <w:ilvl w:val="0"/>
          <w:numId w:val="8"/>
        </w:numPr>
        <w:rPr>
          <w:rFonts w:asciiTheme="minorHAnsi" w:eastAsiaTheme="minorEastAsia" w:hAnsiTheme="minorHAnsi" w:cstheme="minorBidi"/>
          <w:bCs/>
          <w:color w:val="auto"/>
          <w:sz w:val="22"/>
          <w:szCs w:val="22"/>
        </w:rPr>
      </w:pPr>
      <w:r w:rsidRPr="004E09AC">
        <w:rPr>
          <w:rFonts w:asciiTheme="minorHAnsi" w:eastAsiaTheme="minorEastAsia" w:hAnsiTheme="minorHAnsi" w:cstheme="minorBidi"/>
          <w:bCs/>
          <w:color w:val="auto"/>
          <w:sz w:val="22"/>
          <w:szCs w:val="22"/>
        </w:rPr>
        <w:t>These visuals allow clinicians to quickly identify patient segments with higher or lower probability of success.</w:t>
      </w:r>
    </w:p>
    <w:p w14:paraId="48E81755" w14:textId="77777777" w:rsidR="00F879B5" w:rsidRPr="00F879B5" w:rsidRDefault="00F879B5" w:rsidP="00F879B5">
      <w:pPr>
        <w:pStyle w:val="Heading2"/>
        <w:rPr>
          <w:rFonts w:asciiTheme="minorHAnsi" w:eastAsiaTheme="minorEastAsia" w:hAnsiTheme="minorHAnsi" w:cstheme="minorBidi"/>
          <w:b/>
          <w:color w:val="auto"/>
          <w:sz w:val="22"/>
          <w:szCs w:val="22"/>
        </w:rPr>
      </w:pPr>
      <w:r w:rsidRPr="00F879B5">
        <w:rPr>
          <w:rFonts w:asciiTheme="minorHAnsi" w:eastAsiaTheme="minorEastAsia" w:hAnsiTheme="minorHAnsi" w:cstheme="minorBidi"/>
          <w:b/>
          <w:color w:val="auto"/>
          <w:sz w:val="22"/>
          <w:szCs w:val="22"/>
        </w:rPr>
        <w:t>Embryology Performance Analysis:</w:t>
      </w:r>
    </w:p>
    <w:p w14:paraId="0AD3F0AC" w14:textId="77777777" w:rsidR="00F879B5" w:rsidRPr="004E09AC" w:rsidRDefault="00F879B5" w:rsidP="004E09AC">
      <w:pPr>
        <w:pStyle w:val="Heading2"/>
        <w:numPr>
          <w:ilvl w:val="0"/>
          <w:numId w:val="9"/>
        </w:numPr>
        <w:rPr>
          <w:rFonts w:asciiTheme="minorHAnsi" w:eastAsiaTheme="minorEastAsia" w:hAnsiTheme="minorHAnsi" w:cstheme="minorBidi"/>
          <w:bCs/>
          <w:color w:val="auto"/>
          <w:sz w:val="22"/>
          <w:szCs w:val="22"/>
        </w:rPr>
      </w:pPr>
      <w:r w:rsidRPr="004E09AC">
        <w:rPr>
          <w:rFonts w:asciiTheme="minorHAnsi" w:eastAsiaTheme="minorEastAsia" w:hAnsiTheme="minorHAnsi" w:cstheme="minorBidi"/>
          <w:bCs/>
          <w:color w:val="auto"/>
          <w:sz w:val="22"/>
          <w:szCs w:val="22"/>
        </w:rPr>
        <w:t>How do embryology metrics vary across IVF cycles?</w:t>
      </w:r>
    </w:p>
    <w:p w14:paraId="7FC4B353" w14:textId="77777777" w:rsidR="00F879B5" w:rsidRPr="004E09AC" w:rsidRDefault="00F879B5" w:rsidP="004E09AC">
      <w:pPr>
        <w:pStyle w:val="Heading2"/>
        <w:numPr>
          <w:ilvl w:val="0"/>
          <w:numId w:val="9"/>
        </w:numPr>
        <w:rPr>
          <w:rFonts w:asciiTheme="minorHAnsi" w:eastAsiaTheme="minorEastAsia" w:hAnsiTheme="minorHAnsi" w:cstheme="minorBidi"/>
          <w:bCs/>
          <w:color w:val="auto"/>
          <w:sz w:val="22"/>
          <w:szCs w:val="22"/>
        </w:rPr>
      </w:pPr>
      <w:r w:rsidRPr="004E09AC">
        <w:rPr>
          <w:rFonts w:asciiTheme="minorHAnsi" w:eastAsiaTheme="minorEastAsia" w:hAnsiTheme="minorHAnsi" w:cstheme="minorBidi"/>
          <w:bCs/>
          <w:color w:val="auto"/>
          <w:sz w:val="22"/>
          <w:szCs w:val="22"/>
        </w:rPr>
        <w:t>Line and bar charts display trends in oocyte retrieval, fertilization rate, and embryo development across cycles.</w:t>
      </w:r>
    </w:p>
    <w:p w14:paraId="382063E0" w14:textId="77777777" w:rsidR="00F879B5" w:rsidRPr="00F879B5" w:rsidRDefault="00F879B5" w:rsidP="00F879B5">
      <w:pPr>
        <w:pStyle w:val="Heading2"/>
        <w:rPr>
          <w:rFonts w:asciiTheme="minorHAnsi" w:eastAsiaTheme="minorEastAsia" w:hAnsiTheme="minorHAnsi" w:cstheme="minorBidi"/>
          <w:b/>
          <w:color w:val="auto"/>
          <w:sz w:val="22"/>
          <w:szCs w:val="22"/>
        </w:rPr>
      </w:pPr>
      <w:r w:rsidRPr="00F879B5">
        <w:rPr>
          <w:rFonts w:asciiTheme="minorHAnsi" w:eastAsiaTheme="minorEastAsia" w:hAnsiTheme="minorHAnsi" w:cstheme="minorBidi"/>
          <w:b/>
          <w:color w:val="auto"/>
          <w:sz w:val="22"/>
          <w:szCs w:val="22"/>
        </w:rPr>
        <w:lastRenderedPageBreak/>
        <w:t>Parameter-based selections enable analysis of different embryology metrics within the same visualization.</w:t>
      </w:r>
    </w:p>
    <w:p w14:paraId="33D4C69F" w14:textId="77777777" w:rsidR="00F879B5" w:rsidRPr="00F879B5" w:rsidRDefault="00F879B5" w:rsidP="00F879B5">
      <w:pPr>
        <w:pStyle w:val="Heading2"/>
        <w:rPr>
          <w:rFonts w:asciiTheme="minorHAnsi" w:eastAsiaTheme="minorEastAsia" w:hAnsiTheme="minorHAnsi" w:cstheme="minorBidi"/>
          <w:b/>
          <w:color w:val="auto"/>
          <w:sz w:val="22"/>
          <w:szCs w:val="22"/>
        </w:rPr>
      </w:pPr>
      <w:r w:rsidRPr="00F879B5">
        <w:rPr>
          <w:rFonts w:asciiTheme="minorHAnsi" w:eastAsiaTheme="minorEastAsia" w:hAnsiTheme="minorHAnsi" w:cstheme="minorBidi"/>
          <w:b/>
          <w:color w:val="auto"/>
          <w:sz w:val="22"/>
          <w:szCs w:val="22"/>
        </w:rPr>
        <w:t>What is the impact of embryo transfer decisions on outcomes?</w:t>
      </w:r>
    </w:p>
    <w:p w14:paraId="04D49D8E" w14:textId="77777777" w:rsidR="00F879B5" w:rsidRPr="00F879B5" w:rsidRDefault="00F879B5" w:rsidP="00F879B5">
      <w:pPr>
        <w:pStyle w:val="Heading2"/>
        <w:numPr>
          <w:ilvl w:val="0"/>
          <w:numId w:val="3"/>
        </w:numPr>
        <w:rPr>
          <w:rFonts w:asciiTheme="minorHAnsi" w:eastAsiaTheme="minorEastAsia" w:hAnsiTheme="minorHAnsi" w:cstheme="minorBidi"/>
          <w:bCs/>
          <w:color w:val="auto"/>
          <w:sz w:val="22"/>
          <w:szCs w:val="22"/>
        </w:rPr>
      </w:pPr>
      <w:r w:rsidRPr="00F879B5">
        <w:rPr>
          <w:rFonts w:asciiTheme="minorHAnsi" w:eastAsiaTheme="minorEastAsia" w:hAnsiTheme="minorHAnsi" w:cstheme="minorBidi"/>
          <w:bCs/>
          <w:color w:val="auto"/>
          <w:sz w:val="22"/>
          <w:szCs w:val="22"/>
        </w:rPr>
        <w:t>Visualizations compare IVF outcomes based on the number of embryos transferred and the stage of embryo development.</w:t>
      </w:r>
    </w:p>
    <w:p w14:paraId="6BACF141" w14:textId="77777777" w:rsidR="00F879B5" w:rsidRPr="00F879B5" w:rsidRDefault="00F879B5" w:rsidP="00F879B5">
      <w:pPr>
        <w:pStyle w:val="Heading2"/>
        <w:numPr>
          <w:ilvl w:val="0"/>
          <w:numId w:val="3"/>
        </w:numPr>
        <w:rPr>
          <w:rFonts w:asciiTheme="minorHAnsi" w:eastAsiaTheme="minorEastAsia" w:hAnsiTheme="minorHAnsi" w:cstheme="minorBidi"/>
          <w:bCs/>
          <w:color w:val="auto"/>
          <w:sz w:val="22"/>
          <w:szCs w:val="22"/>
        </w:rPr>
      </w:pPr>
      <w:r w:rsidRPr="00F879B5">
        <w:rPr>
          <w:rFonts w:asciiTheme="minorHAnsi" w:eastAsiaTheme="minorEastAsia" w:hAnsiTheme="minorHAnsi" w:cstheme="minorBidi"/>
          <w:bCs/>
          <w:color w:val="auto"/>
          <w:sz w:val="22"/>
          <w:szCs w:val="22"/>
        </w:rPr>
        <w:t>These insights help embryologists assess the balance between success rates and multiple pregnancy risks.</w:t>
      </w:r>
    </w:p>
    <w:p w14:paraId="5592BAF4" w14:textId="77777777" w:rsidR="00F879B5" w:rsidRPr="00F879B5" w:rsidRDefault="00F879B5" w:rsidP="00F879B5">
      <w:pPr>
        <w:pStyle w:val="Heading2"/>
        <w:rPr>
          <w:rFonts w:asciiTheme="minorHAnsi" w:eastAsiaTheme="minorEastAsia" w:hAnsiTheme="minorHAnsi" w:cstheme="minorBidi"/>
          <w:b/>
          <w:color w:val="auto"/>
          <w:sz w:val="22"/>
          <w:szCs w:val="22"/>
        </w:rPr>
      </w:pPr>
      <w:r w:rsidRPr="00F879B5">
        <w:rPr>
          <w:rFonts w:asciiTheme="minorHAnsi" w:eastAsiaTheme="minorEastAsia" w:hAnsiTheme="minorHAnsi" w:cstheme="minorBidi"/>
          <w:b/>
          <w:color w:val="auto"/>
          <w:sz w:val="22"/>
          <w:szCs w:val="22"/>
        </w:rPr>
        <w:t>IVF Funnel and Outcome Conversion:</w:t>
      </w:r>
    </w:p>
    <w:p w14:paraId="791B0CE3" w14:textId="77777777" w:rsidR="00F879B5" w:rsidRPr="00F879B5" w:rsidRDefault="00F879B5" w:rsidP="00F879B5">
      <w:pPr>
        <w:pStyle w:val="Heading2"/>
        <w:rPr>
          <w:rFonts w:asciiTheme="minorHAnsi" w:eastAsiaTheme="minorEastAsia" w:hAnsiTheme="minorHAnsi" w:cstheme="minorBidi"/>
          <w:bCs/>
          <w:color w:val="auto"/>
          <w:sz w:val="22"/>
          <w:szCs w:val="22"/>
        </w:rPr>
      </w:pPr>
      <w:r w:rsidRPr="00F879B5">
        <w:rPr>
          <w:rFonts w:asciiTheme="minorHAnsi" w:eastAsiaTheme="minorEastAsia" w:hAnsiTheme="minorHAnsi" w:cstheme="minorBidi"/>
          <w:bCs/>
          <w:color w:val="auto"/>
          <w:sz w:val="22"/>
          <w:szCs w:val="22"/>
        </w:rPr>
        <w:t>Where do major drop-offs occur in IVF treatment?</w:t>
      </w:r>
    </w:p>
    <w:p w14:paraId="1DCA5009" w14:textId="77777777" w:rsidR="00F879B5" w:rsidRPr="00F879B5" w:rsidRDefault="00F879B5" w:rsidP="00F879B5">
      <w:pPr>
        <w:pStyle w:val="Heading2"/>
        <w:numPr>
          <w:ilvl w:val="0"/>
          <w:numId w:val="3"/>
        </w:numPr>
        <w:rPr>
          <w:rFonts w:asciiTheme="minorHAnsi" w:eastAsiaTheme="minorEastAsia" w:hAnsiTheme="minorHAnsi" w:cstheme="minorBidi"/>
          <w:bCs/>
          <w:color w:val="auto"/>
          <w:sz w:val="22"/>
          <w:szCs w:val="22"/>
        </w:rPr>
      </w:pPr>
      <w:r w:rsidRPr="00F879B5">
        <w:rPr>
          <w:rFonts w:asciiTheme="minorHAnsi" w:eastAsiaTheme="minorEastAsia" w:hAnsiTheme="minorHAnsi" w:cstheme="minorBidi"/>
          <w:bCs/>
          <w:color w:val="auto"/>
          <w:sz w:val="22"/>
          <w:szCs w:val="22"/>
        </w:rPr>
        <w:t>Funnel charts illustrate the progression from biochemical pregnancy to clinical pregnancy and live birth.</w:t>
      </w:r>
    </w:p>
    <w:p w14:paraId="756D2E93" w14:textId="127A0241" w:rsidR="00F879B5" w:rsidRPr="00F879B5" w:rsidRDefault="00F879B5" w:rsidP="00F879B5">
      <w:pPr>
        <w:pStyle w:val="Heading2"/>
        <w:numPr>
          <w:ilvl w:val="0"/>
          <w:numId w:val="3"/>
        </w:numPr>
        <w:rPr>
          <w:rFonts w:asciiTheme="minorHAnsi" w:eastAsiaTheme="minorEastAsia" w:hAnsiTheme="minorHAnsi" w:cstheme="minorBidi"/>
          <w:bCs/>
          <w:color w:val="auto"/>
          <w:sz w:val="22"/>
          <w:szCs w:val="22"/>
        </w:rPr>
      </w:pPr>
      <w:r w:rsidRPr="00F879B5">
        <w:rPr>
          <w:rFonts w:asciiTheme="minorHAnsi" w:eastAsiaTheme="minorEastAsia" w:hAnsiTheme="minorHAnsi" w:cstheme="minorBidi"/>
          <w:bCs/>
          <w:color w:val="auto"/>
          <w:sz w:val="22"/>
          <w:szCs w:val="22"/>
        </w:rPr>
        <w:t>This visualization helps identify critical stages where interventions can improve outcomes.</w:t>
      </w:r>
    </w:p>
    <w:p w14:paraId="6DB52218" w14:textId="58E9F28C" w:rsidR="00F879B5" w:rsidRDefault="00F879B5" w:rsidP="00F879B5"/>
    <w:p w14:paraId="220ABA34" w14:textId="77777777" w:rsidR="00F879B5" w:rsidRPr="00F879B5" w:rsidRDefault="00F879B5" w:rsidP="00F879B5"/>
    <w:p w14:paraId="025F2373" w14:textId="77777777" w:rsidR="00A964AC" w:rsidRDefault="00A964AC" w:rsidP="00A964AC">
      <w:pPr>
        <w:pStyle w:val="Heading2"/>
      </w:pPr>
      <w:r>
        <w:t>Conclusion</w:t>
      </w:r>
    </w:p>
    <w:p w14:paraId="453FB70E" w14:textId="77777777" w:rsidR="004E09AC" w:rsidRDefault="004E09AC" w:rsidP="004E09AC">
      <w:r>
        <w:t>Analyzing IVF treatment data is inherently complex due to the involvement of multiple clinical stages, diverse patient characteristics, and outcome variations across treatment cycles. Even after aggregating patient-level and cycle-level information, numerical summaries alone provide limited insight into the interconnected factors influencing IVF success. IVF outcomes depend on a combination of demographic, hormonal, embryological, and procedural parameters, which require structured exploratory analysis to be effectively understood.</w:t>
      </w:r>
    </w:p>
    <w:p w14:paraId="385E6DC7" w14:textId="77777777" w:rsidR="004E09AC" w:rsidRDefault="004E09AC" w:rsidP="004E09AC"/>
    <w:p w14:paraId="19A62F08" w14:textId="77777777" w:rsidR="004E09AC" w:rsidRDefault="004E09AC" w:rsidP="004E09AC">
      <w:r>
        <w:t>Descriptive analysis and visualization enable a comprehensive view of IVF performance by presenting key metrics such as clinical pregnancy rate, live birth rate, and treatment drop-offs across different stages. By visualizing the data using multiple perspectives and parameters, clinicians and stakeholders can quickly identify patterns, anomalies, and areas for improvement, supporting data-driven clinical and operational decisions.</w:t>
      </w:r>
    </w:p>
    <w:p w14:paraId="1767012D" w14:textId="77777777" w:rsidR="004E09AC" w:rsidRDefault="004E09AC" w:rsidP="004E09AC"/>
    <w:p w14:paraId="4F70D30E" w14:textId="65A4E8D2" w:rsidR="003C1AD2" w:rsidRDefault="004E09AC" w:rsidP="004E09AC">
      <w:r>
        <w:t>With advancements in reproductive medicine and the increasing availability of detailed clinical and laboratory data, there is significant potential to extend this analysis further. Incorporating longitudinal patient histories, advanced embryology metrics, and predictive analytics can enable deeper insights into treatment effectiveness and personalized IVF care. Such data-driven approaches can contribute to improved success rates, better patient outcomes, and continuous optimization of IVF treatment strategies.</w:t>
      </w:r>
    </w:p>
    <w:sectPr w:rsidR="003C1AD2" w:rsidSect="00772B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A1AC3"/>
    <w:multiLevelType w:val="hybridMultilevel"/>
    <w:tmpl w:val="D9AAC7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F9475A"/>
    <w:multiLevelType w:val="hybridMultilevel"/>
    <w:tmpl w:val="35B82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3E3589"/>
    <w:multiLevelType w:val="hybridMultilevel"/>
    <w:tmpl w:val="0114B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6D218FF"/>
    <w:multiLevelType w:val="hybridMultilevel"/>
    <w:tmpl w:val="66483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F9B2715"/>
    <w:multiLevelType w:val="hybridMultilevel"/>
    <w:tmpl w:val="246210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33709E"/>
    <w:multiLevelType w:val="hybridMultilevel"/>
    <w:tmpl w:val="456A5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0A55388"/>
    <w:multiLevelType w:val="hybridMultilevel"/>
    <w:tmpl w:val="8E805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DDA12A3"/>
    <w:multiLevelType w:val="hybridMultilevel"/>
    <w:tmpl w:val="A16AE8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66D7AB6"/>
    <w:multiLevelType w:val="hybridMultilevel"/>
    <w:tmpl w:val="45008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4"/>
  </w:num>
  <w:num w:numId="3">
    <w:abstractNumId w:val="7"/>
  </w:num>
  <w:num w:numId="4">
    <w:abstractNumId w:val="6"/>
  </w:num>
  <w:num w:numId="5">
    <w:abstractNumId w:val="5"/>
  </w:num>
  <w:num w:numId="6">
    <w:abstractNumId w:val="2"/>
  </w:num>
  <w:num w:numId="7">
    <w:abstractNumId w:val="0"/>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4AC"/>
    <w:rsid w:val="000415CB"/>
    <w:rsid w:val="003334E4"/>
    <w:rsid w:val="004E09AC"/>
    <w:rsid w:val="00772B4D"/>
    <w:rsid w:val="009F5743"/>
    <w:rsid w:val="00A86D61"/>
    <w:rsid w:val="00A964AC"/>
    <w:rsid w:val="00F87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DE395"/>
  <w15:chartTrackingRefBased/>
  <w15:docId w15:val="{351894A8-3C52-E648-9C8E-D87C48318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4AC"/>
    <w:pPr>
      <w:spacing w:after="160" w:line="259" w:lineRule="auto"/>
    </w:pPr>
    <w:rPr>
      <w:rFonts w:eastAsiaTheme="minorEastAsia"/>
      <w:sz w:val="22"/>
      <w:szCs w:val="22"/>
    </w:rPr>
  </w:style>
  <w:style w:type="paragraph" w:styleId="Heading2">
    <w:name w:val="heading 2"/>
    <w:basedOn w:val="Normal"/>
    <w:next w:val="Normal"/>
    <w:link w:val="Heading2Char"/>
    <w:uiPriority w:val="9"/>
    <w:unhideWhenUsed/>
    <w:qFormat/>
    <w:rsid w:val="00A964AC"/>
    <w:pPr>
      <w:keepNext/>
      <w:keepLines/>
      <w:spacing w:before="40" w:after="0" w:line="240" w:lineRule="auto"/>
      <w:outlineLvl w:val="1"/>
    </w:pPr>
    <w:rPr>
      <w:rFonts w:asciiTheme="majorHAnsi" w:eastAsiaTheme="majorEastAsia" w:hAnsiTheme="majorHAnsi" w:cstheme="majorBidi"/>
      <w:color w:val="C45911" w:themeColor="accent2" w:themeShade="BF"/>
      <w:sz w:val="28"/>
      <w:szCs w:val="28"/>
    </w:rPr>
  </w:style>
  <w:style w:type="paragraph" w:styleId="Heading3">
    <w:name w:val="heading 3"/>
    <w:basedOn w:val="Normal"/>
    <w:next w:val="Normal"/>
    <w:link w:val="Heading3Char"/>
    <w:uiPriority w:val="9"/>
    <w:semiHidden/>
    <w:unhideWhenUsed/>
    <w:qFormat/>
    <w:rsid w:val="00F879B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879B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64AC"/>
    <w:rPr>
      <w:rFonts w:asciiTheme="majorHAnsi" w:eastAsiaTheme="majorEastAsia" w:hAnsiTheme="majorHAnsi" w:cstheme="majorBidi"/>
      <w:color w:val="C45911" w:themeColor="accent2" w:themeShade="BF"/>
      <w:sz w:val="28"/>
      <w:szCs w:val="28"/>
    </w:rPr>
  </w:style>
  <w:style w:type="paragraph" w:styleId="Title">
    <w:name w:val="Title"/>
    <w:basedOn w:val="Normal"/>
    <w:next w:val="Normal"/>
    <w:link w:val="TitleChar"/>
    <w:uiPriority w:val="10"/>
    <w:qFormat/>
    <w:rsid w:val="00A964AC"/>
    <w:pPr>
      <w:spacing w:after="0" w:line="240" w:lineRule="auto"/>
      <w:contextualSpacing/>
    </w:pPr>
    <w:rPr>
      <w:rFonts w:asciiTheme="majorHAnsi" w:eastAsiaTheme="majorEastAsia" w:hAnsiTheme="majorHAnsi" w:cstheme="majorBidi"/>
      <w:color w:val="2F5496" w:themeColor="accent1" w:themeShade="BF"/>
      <w:spacing w:val="-10"/>
      <w:sz w:val="52"/>
      <w:szCs w:val="52"/>
    </w:rPr>
  </w:style>
  <w:style w:type="character" w:customStyle="1" w:styleId="TitleChar">
    <w:name w:val="Title Char"/>
    <w:basedOn w:val="DefaultParagraphFont"/>
    <w:link w:val="Title"/>
    <w:uiPriority w:val="10"/>
    <w:rsid w:val="00A964AC"/>
    <w:rPr>
      <w:rFonts w:asciiTheme="majorHAnsi" w:eastAsiaTheme="majorEastAsia" w:hAnsiTheme="majorHAnsi" w:cstheme="majorBidi"/>
      <w:color w:val="2F5496" w:themeColor="accent1" w:themeShade="BF"/>
      <w:spacing w:val="-10"/>
      <w:sz w:val="52"/>
      <w:szCs w:val="52"/>
    </w:rPr>
  </w:style>
  <w:style w:type="paragraph" w:styleId="ListParagraph">
    <w:name w:val="List Paragraph"/>
    <w:basedOn w:val="Normal"/>
    <w:uiPriority w:val="34"/>
    <w:qFormat/>
    <w:rsid w:val="00A964AC"/>
    <w:pPr>
      <w:ind w:left="720"/>
      <w:contextualSpacing/>
    </w:pPr>
  </w:style>
  <w:style w:type="character" w:customStyle="1" w:styleId="Heading3Char">
    <w:name w:val="Heading 3 Char"/>
    <w:basedOn w:val="DefaultParagraphFont"/>
    <w:link w:val="Heading3"/>
    <w:uiPriority w:val="9"/>
    <w:semiHidden/>
    <w:rsid w:val="00F879B5"/>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F879B5"/>
    <w:rPr>
      <w:rFonts w:asciiTheme="majorHAnsi" w:eastAsiaTheme="majorEastAsia" w:hAnsiTheme="majorHAnsi" w:cstheme="majorBidi"/>
      <w:i/>
      <w:iCs/>
      <w:color w:val="2F5496"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01109">
      <w:bodyDiv w:val="1"/>
      <w:marLeft w:val="0"/>
      <w:marRight w:val="0"/>
      <w:marTop w:val="0"/>
      <w:marBottom w:val="0"/>
      <w:divBdr>
        <w:top w:val="none" w:sz="0" w:space="0" w:color="auto"/>
        <w:left w:val="none" w:sz="0" w:space="0" w:color="auto"/>
        <w:bottom w:val="none" w:sz="0" w:space="0" w:color="auto"/>
        <w:right w:val="none" w:sz="0" w:space="0" w:color="auto"/>
      </w:divBdr>
    </w:div>
    <w:div w:id="408045703">
      <w:bodyDiv w:val="1"/>
      <w:marLeft w:val="0"/>
      <w:marRight w:val="0"/>
      <w:marTop w:val="0"/>
      <w:marBottom w:val="0"/>
      <w:divBdr>
        <w:top w:val="none" w:sz="0" w:space="0" w:color="auto"/>
        <w:left w:val="none" w:sz="0" w:space="0" w:color="auto"/>
        <w:bottom w:val="none" w:sz="0" w:space="0" w:color="auto"/>
        <w:right w:val="none" w:sz="0" w:space="0" w:color="auto"/>
      </w:divBdr>
    </w:div>
    <w:div w:id="916986411">
      <w:bodyDiv w:val="1"/>
      <w:marLeft w:val="0"/>
      <w:marRight w:val="0"/>
      <w:marTop w:val="0"/>
      <w:marBottom w:val="0"/>
      <w:divBdr>
        <w:top w:val="none" w:sz="0" w:space="0" w:color="auto"/>
        <w:left w:val="none" w:sz="0" w:space="0" w:color="auto"/>
        <w:bottom w:val="none" w:sz="0" w:space="0" w:color="auto"/>
        <w:right w:val="none" w:sz="0" w:space="0" w:color="auto"/>
      </w:divBdr>
    </w:div>
    <w:div w:id="1879968823">
      <w:bodyDiv w:val="1"/>
      <w:marLeft w:val="0"/>
      <w:marRight w:val="0"/>
      <w:marTop w:val="0"/>
      <w:marBottom w:val="0"/>
      <w:divBdr>
        <w:top w:val="none" w:sz="0" w:space="0" w:color="auto"/>
        <w:left w:val="none" w:sz="0" w:space="0" w:color="auto"/>
        <w:bottom w:val="none" w:sz="0" w:space="0" w:color="auto"/>
        <w:right w:val="none" w:sz="0" w:space="0" w:color="auto"/>
      </w:divBdr>
    </w:div>
    <w:div w:id="2123720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1381</Words>
  <Characters>7875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Bharani Kumar D</dc:creator>
  <cp:keywords/>
  <dc:description/>
  <cp:lastModifiedBy>DELL</cp:lastModifiedBy>
  <cp:revision>2</cp:revision>
  <dcterms:created xsi:type="dcterms:W3CDTF">2026-01-23T17:13:00Z</dcterms:created>
  <dcterms:modified xsi:type="dcterms:W3CDTF">2026-01-23T17:13:00Z</dcterms:modified>
</cp:coreProperties>
</file>