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Обработка овощей,</w:t>
        <w:br/>
        <w:t>листовых салатов</w:t>
        <w:br/>
        <w:t>и зелени</w:t>
      </w:r>
    </w:p>
    <w:p>
      <w:pPr>
        <w:pStyle w:val="Subtitle"/>
      </w:pPr>
      <w:r>
        <w:t>Проекты стандартов операционных процедур</w:t>
        <w:br/>
        <w:t>на основе И-ГЦ-02 и МУ-41-2024</w:t>
      </w:r>
    </w:p>
    <w:p>
      <w:r>
        <w:t>Версия расчётного примера: 05.09.2026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2835"/>
            <w:shd w:fill="246577"/>
          </w:tcPr>
          <w:p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7087"/>
            <w:shd w:fill="246577"/>
          </w:tcPr>
          <w:p>
            <w:r>
              <w:rPr>
                <w:b/>
                <w:color w:val="FFFFFF"/>
              </w:rPr>
              <w:t>Состояние проекта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18"/>
              </w:rPr>
              <w:t>Предприятие</w:t>
            </w:r>
          </w:p>
        </w:tc>
        <w:tc>
          <w:tcPr>
            <w:tcW w:type="dxa" w:w="7087"/>
          </w:tcPr>
          <w:p>
            <w:pPr>
              <w:spacing w:after="60" w:before="60"/>
            </w:pPr>
            <w:r>
              <w:rPr>
                <w:sz w:val="18"/>
              </w:rPr>
              <w:t>АО «ПП «Русский хлеб» — реквизиты сверить: на титуле И-ГЦ-02 также указано ООО «Курортное кафе».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18"/>
              </w:rPr>
              <w:t>Цех / участок</w:t>
            </w:r>
          </w:p>
        </w:tc>
        <w:tc>
          <w:tcPr>
            <w:tcW w:type="dxa" w:w="7087"/>
          </w:tcPr>
          <w:p>
            <w:pPr>
              <w:spacing w:after="60" w:before="60"/>
            </w:pPr>
            <w:r>
              <w:rPr>
                <w:sz w:val="18"/>
              </w:rPr>
              <w:t>Кулинарный цех / овощной участок, SOLIA — уточнить.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18"/>
              </w:rPr>
              <w:t>Разработал / согласовал</w:t>
            </w:r>
          </w:p>
        </w:tc>
        <w:tc>
          <w:tcPr>
            <w:tcW w:type="dxa" w:w="7087"/>
          </w:tcPr>
          <w:p>
            <w:pPr>
              <w:spacing w:after="60" w:before="60"/>
            </w:pPr>
            <w:r>
              <w:rPr>
                <w:sz w:val="18"/>
              </w:rPr>
              <w:t>Роли: составитель, инженер-технолог, ответственный по ОТ. ФИО внести после назначения.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18"/>
              </w:rPr>
              <w:t>Утвердил / подписи</w:t>
            </w:r>
          </w:p>
        </w:tc>
        <w:tc>
          <w:tcPr>
            <w:tcW w:type="dxa" w:w="7087"/>
          </w:tcPr>
          <w:p>
            <w:pPr>
              <w:spacing w:after="60" w:before="60"/>
            </w:pPr>
            <w:r>
              <w:rPr>
                <w:sz w:val="18"/>
              </w:rPr>
              <w:t>НЕ УТВЕРЖДЕНО. Подписи и даты утверждения не созданы.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18"/>
              </w:rPr>
              <w:t>Статус времён</w:t>
            </w:r>
          </w:p>
        </w:tc>
        <w:tc>
          <w:tcPr>
            <w:tcW w:type="dxa" w:w="7087"/>
          </w:tcPr>
          <w:p>
            <w:pPr>
              <w:spacing w:after="60" w:before="60"/>
            </w:pPr>
            <w:r>
              <w:rPr>
                <w:sz w:val="18"/>
              </w:rPr>
              <w:t>Все ручные длительности — синтетический пример. Режимы SOLIA — из И-ГЦ-02.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</w:pPr>
            <w:r>
              <w:rPr>
                <w:sz w:val="18"/>
              </w:rPr>
              <w:t>Основной рабочий файл</w:t>
            </w:r>
          </w:p>
        </w:tc>
        <w:tc>
          <w:tcPr>
            <w:tcW w:type="dxa" w:w="7087"/>
          </w:tcPr>
          <w:p>
            <w:pPr>
              <w:spacing w:after="60" w:before="60"/>
            </w:pPr>
            <w:r>
              <w:rPr>
                <w:sz w:val="18"/>
              </w:rPr>
              <w:t>Стандартизированная_работа_И-ГЦ-02.xlsx — 28 связанных листов.</w:t>
            </w:r>
          </w:p>
        </w:tc>
      </w:tr>
    </w:tbl>
    <w:p/>
    <w:p>
      <w:pPr>
        <w:pStyle w:val="Heading1"/>
      </w:pPr>
      <w:r>
        <w:t>Как использовать этот документ</w:t>
      </w:r>
    </w:p>
    <w:p>
      <w:r>
        <w:t>Это статический снимок проекта. Числа Word не обновляются при изменении Excel. Для актуальных стандартов выбирайте продукт во «Ввод!B12» и печатайте лист «СОП» из книги. Здесь приведены два примера маршрута — томат и латук — и общий периодический санитарный комплекс. Для остальных видов используются собственные замеры в Excel.</w:t>
      </w:r>
    </w:p>
    <w:p>
      <w:r>
        <w:t>До внедрения необходимо проверить паспорт SOLIA, действующие санитарные документы и инструкции ОТ, уточнить СИЗ, фото ОК/NOK и критерии контроля, провести наблюдения, согласовать и утвердить стандарты, обучить сотрудников. Пример не является подтверждением внедрения или безопасности.</w:t>
      </w:r>
    </w:p>
    <w:p>
      <w:r>
        <w:br w:type="page"/>
      </w:r>
    </w:p>
    <w:p>
      <w:pPr>
        <w:pStyle w:val="Heading1"/>
      </w:pPr>
      <w:r>
        <w:t>1. Обязательные технологические данные</w:t>
      </w:r>
    </w:p>
    <w:p>
      <w:r>
        <w:t>Основание: И-ГЦ-02, PDF стр. 2–3, таблица №1. Длительности переведены из мин:сек в секунды. Полная программа выполняется и при неполной последней партии.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134"/>
            <w:shd w:fill="246577"/>
          </w:tcPr>
          <w:p>
            <w:r>
              <w:rPr>
                <w:b/>
                <w:color w:val="FFFFFF"/>
              </w:rPr>
              <w:t>Программа</w:t>
            </w:r>
          </w:p>
        </w:tc>
        <w:tc>
          <w:tcPr>
            <w:tcW w:type="dxa" w:w="2154"/>
            <w:shd w:fill="246577"/>
          </w:tcPr>
          <w:p>
            <w:r>
              <w:rPr>
                <w:b/>
                <w:color w:val="FFFFFF"/>
              </w:rPr>
              <w:t>Мытьё</w:t>
            </w:r>
          </w:p>
        </w:tc>
        <w:tc>
          <w:tcPr>
            <w:tcW w:type="dxa" w:w="2381"/>
            <w:shd w:fill="246577"/>
          </w:tcPr>
          <w:p>
            <w:r>
              <w:rPr>
                <w:b/>
                <w:color w:val="FFFFFF"/>
              </w:rPr>
              <w:t>Ополаскивание</w:t>
            </w:r>
          </w:p>
        </w:tc>
        <w:tc>
          <w:tcPr>
            <w:tcW w:type="dxa" w:w="2551"/>
            <w:shd w:fill="246577"/>
          </w:tcPr>
          <w:p>
            <w:r>
              <w:rPr>
                <w:b/>
                <w:color w:val="FFFFFF"/>
              </w:rPr>
              <w:t>Вращение</w:t>
            </w:r>
          </w:p>
        </w:tc>
        <w:tc>
          <w:tcPr>
            <w:tcW w:type="dxa" w:w="1701"/>
            <w:shd w:fill="246577"/>
          </w:tcPr>
          <w:p>
            <w:r>
              <w:rPr>
                <w:b/>
                <w:color w:val="FFFFFF"/>
              </w:rPr>
              <w:t>Всего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2154"/>
          </w:tcPr>
          <w:p>
            <w:pPr>
              <w:spacing w:after="60" w:before="60"/>
            </w:pPr>
            <w:r>
              <w:rPr>
                <w:sz w:val="18"/>
              </w:rPr>
              <w:t>30 об/мин</w:t>
              <w:br/>
              <w:t>60 с</w:t>
            </w:r>
          </w:p>
        </w:tc>
        <w:tc>
          <w:tcPr>
            <w:tcW w:type="dxa" w:w="2381"/>
          </w:tcPr>
          <w:p>
            <w:pPr>
              <w:spacing w:after="60" w:before="60"/>
            </w:pPr>
            <w:r>
              <w:rPr>
                <w:sz w:val="18"/>
              </w:rPr>
              <w:t>150 об/мин</w:t>
              <w:br/>
              <w:t>30 с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sz w:val="18"/>
              </w:rPr>
              <w:t>400 об/мин</w:t>
              <w:br/>
              <w:t>360 с</w:t>
            </w:r>
          </w:p>
        </w:tc>
        <w:tc>
          <w:tcPr>
            <w:tcW w:type="dxa" w:w="1701"/>
          </w:tcPr>
          <w:p>
            <w:pPr>
              <w:spacing w:after="60" w:before="60"/>
            </w:pPr>
            <w:r>
              <w:rPr>
                <w:sz w:val="18"/>
              </w:rPr>
              <w:t>450 с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/>
            </w:pPr>
            <w:r>
              <w:rPr>
                <w:sz w:val="18"/>
              </w:rPr>
              <w:t>02</w:t>
            </w:r>
          </w:p>
        </w:tc>
        <w:tc>
          <w:tcPr>
            <w:tcW w:type="dxa" w:w="2154"/>
          </w:tcPr>
          <w:p>
            <w:pPr>
              <w:spacing w:after="60" w:before="60"/>
            </w:pPr>
            <w:r>
              <w:rPr>
                <w:sz w:val="18"/>
              </w:rPr>
              <w:t>30 об/мин</w:t>
              <w:br/>
              <w:t>60 с</w:t>
            </w:r>
          </w:p>
        </w:tc>
        <w:tc>
          <w:tcPr>
            <w:tcW w:type="dxa" w:w="2381"/>
          </w:tcPr>
          <w:p>
            <w:pPr>
              <w:spacing w:after="60" w:before="60"/>
            </w:pPr>
            <w:r>
              <w:rPr>
                <w:sz w:val="18"/>
              </w:rPr>
              <w:t>150 об/мин</w:t>
              <w:br/>
              <w:t>60 с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sz w:val="18"/>
              </w:rPr>
              <w:t>150 об/мин</w:t>
              <w:br/>
              <w:t>60 с</w:t>
            </w:r>
          </w:p>
        </w:tc>
        <w:tc>
          <w:tcPr>
            <w:tcW w:type="dxa" w:w="1701"/>
          </w:tcPr>
          <w:p>
            <w:pPr>
              <w:spacing w:after="60" w:before="60"/>
            </w:pPr>
            <w:r>
              <w:rPr>
                <w:sz w:val="18"/>
              </w:rPr>
              <w:t>180 с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154"/>
          </w:tcPr>
          <w:p>
            <w:pPr>
              <w:spacing w:after="60" w:before="60"/>
            </w:pPr>
            <w:r>
              <w:rPr>
                <w:sz w:val="18"/>
              </w:rPr>
              <w:t>30 об/мин</w:t>
              <w:br/>
              <w:t>120 с</w:t>
            </w:r>
          </w:p>
        </w:tc>
        <w:tc>
          <w:tcPr>
            <w:tcW w:type="dxa" w:w="2381"/>
          </w:tcPr>
          <w:p>
            <w:pPr>
              <w:spacing w:after="60" w:before="60"/>
            </w:pPr>
            <w:r>
              <w:rPr>
                <w:sz w:val="18"/>
              </w:rPr>
              <w:t>150 об/мин</w:t>
              <w:br/>
              <w:t>60 с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sz w:val="18"/>
              </w:rPr>
              <w:t>250 об/мин</w:t>
              <w:br/>
              <w:t>120 с</w:t>
            </w:r>
          </w:p>
        </w:tc>
        <w:tc>
          <w:tcPr>
            <w:tcW w:type="dxa" w:w="1701"/>
          </w:tcPr>
          <w:p>
            <w:pPr>
              <w:spacing w:after="60" w:before="60"/>
            </w:pPr>
            <w:r>
              <w:rPr>
                <w:sz w:val="18"/>
              </w:rPr>
              <w:t>300 с</w:t>
            </w:r>
          </w:p>
        </w:tc>
      </w:tr>
    </w:tbl>
    <w:p/>
    <w:p>
      <w:r>
        <w:t>После каждой 4-й помывки слить бак. После слива выключить и обесточить оборудование. После выключения и обесточивания промыть бак моющими средствами и продезинфицировать. Частота и последовательность сохранены; санитарное время в прогнозе не уменьшено.</w:t>
      </w:r>
    </w:p>
    <w:p>
      <w:pPr>
        <w:pStyle w:val="Heading1"/>
      </w:pPr>
      <w:r>
        <w:t>2. Продукция и загрузка SOLIA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5669"/>
            <w:shd w:fill="246577"/>
          </w:tcPr>
          <w:p>
            <w:r>
              <w:rPr>
                <w:b/>
                <w:color w:val="FFFFFF"/>
              </w:rPr>
              <w:t>Продукт</w:t>
            </w:r>
          </w:p>
        </w:tc>
        <w:tc>
          <w:tcPr>
            <w:tcW w:type="dxa" w:w="1531"/>
            <w:shd w:fill="246577"/>
          </w:tcPr>
          <w:p>
            <w:r>
              <w:rPr>
                <w:b/>
                <w:color w:val="FFFFFF"/>
              </w:rPr>
              <w:t>Программа</w:t>
            </w:r>
          </w:p>
        </w:tc>
        <w:tc>
          <w:tcPr>
            <w:tcW w:type="dxa" w:w="2721"/>
            <w:shd w:fill="246577"/>
          </w:tcPr>
          <w:p>
            <w:r>
              <w:rPr>
                <w:b/>
                <w:color w:val="FFFFFF"/>
              </w:rPr>
              <w:t>Загрузка по И-ГЦ-02, кг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Латук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1,5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Базилик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1,5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Петрушка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1,5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Томат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02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5,0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Белокочанная капуста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02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3,0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Укроп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1,5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Зеленый лук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1,5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Кинза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1,5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Шампиньоны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5,0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Перец болгарский красный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5,0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Огурец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5,0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Редис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3,0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Сельдерей ствол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1,5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Сельдерей корень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1,5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Тыква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3,0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Имбирь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3,0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Лимон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2,0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before="60"/>
            </w:pPr>
            <w:r>
              <w:rPr>
                <w:sz w:val="18"/>
              </w:rPr>
              <w:t>Апельсин</w:t>
            </w:r>
          </w:p>
        </w:tc>
        <w:tc>
          <w:tcPr>
            <w:tcW w:type="dxa" w:w="1531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2721"/>
          </w:tcPr>
          <w:p>
            <w:pPr>
              <w:spacing w:after="60" w:before="60"/>
            </w:pPr>
            <w:r>
              <w:rPr>
                <w:sz w:val="18"/>
              </w:rPr>
              <w:t>2,0</w:t>
            </w:r>
          </w:p>
        </w:tc>
      </w:tr>
    </w:tbl>
    <w:p/>
    <w:p>
      <w:r>
        <w:t>Масса трактуется в модели консервативно как предел одной загрузки. Группировка «зелень / овощи и прочее» — расчётная; отдельные наименования сохранены из источника. Фактическое применение и тару для каждой позиции подтвердить технологом.</w:t>
      </w:r>
    </w:p>
    <w:p>
      <w:r>
        <w:br w:type="page"/>
      </w:r>
    </w:p>
    <w:p>
      <w:pPr>
        <w:pStyle w:val="Heading1"/>
      </w:pPr>
      <w:r>
        <w:t>Овощи: томат · проект СОП</w:t>
      </w:r>
    </w:p>
    <w:p>
      <w:r>
        <w:t>СОП-И-ГЦ-02-ОВ/ПРОЕКТ | 1 оператор, 1 SOLIA | Партия 5,0 кг | Целевая модель, не утверждённый норматив</w:t>
      </w:r>
    </w:p>
    <w:p>
      <w:r>
        <w:t>Границы: от осмотра партии до возврата на исходную позицию. Во время автоматической программы другой работы оператор не выполняет. Применяемые СИЗ и паспортные условия допуска определить по действующим документам предприятия.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454"/>
            <w:shd w:fill="246577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814"/>
            <w:shd w:fill="246577"/>
          </w:tcPr>
          <w:p>
            <w:r>
              <w:rPr>
                <w:b/>
                <w:color w:val="FFFFFF"/>
              </w:rPr>
              <w:t>Основной этап</w:t>
            </w:r>
          </w:p>
        </w:tc>
        <w:tc>
          <w:tcPr>
            <w:tcW w:type="dxa" w:w="3515"/>
            <w:shd w:fill="246577"/>
          </w:tcPr>
          <w:p>
            <w:r>
              <w:rPr>
                <w:b/>
                <w:color w:val="FFFFFF"/>
              </w:rPr>
              <w:t>Ключевые моменты</w:t>
            </w:r>
          </w:p>
        </w:tc>
        <w:tc>
          <w:tcPr>
            <w:tcW w:type="dxa" w:w="3061"/>
            <w:shd w:fill="246577"/>
          </w:tcPr>
          <w:p>
            <w:r>
              <w:rPr>
                <w:b/>
                <w:color w:val="FFFFFF"/>
              </w:rPr>
              <w:t>Причины / контроль</w:t>
            </w:r>
          </w:p>
        </w:tc>
        <w:tc>
          <w:tcPr>
            <w:tcW w:type="dxa" w:w="1077"/>
            <w:shd w:fill="246577"/>
          </w:tcPr>
          <w:p>
            <w:r>
              <w:rPr>
                <w:b/>
                <w:color w:val="FFFFFF"/>
              </w:rPr>
              <w:t>ДЕМО, с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Осмотр и подготовка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Проверить упаковку; исключить порчу, гниль, плесень и посторонние запахи. Осмотреть отобранное сырьё и подготовить к загрузке. Не добавлять очистку/нарезку, отсутствующие в И-ГЦ-02, без отдельной технологии.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допустить несоответствующее сырьё. Контроль каждой партии.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62,18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Взвешивание и передача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Отвесить не более 5,0 кг и передать к SOLIA по согласованному маршруту.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перегружать машину; исключить перекрёстное загрязнение.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26,52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Загрузка и запуск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Выбрать программу 02. Загрузка и запуск по паспорту SOLIA.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Сверить продукт, массу и программу перед каждым запуском.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30,83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Автоматическая обработка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Дождаться полного завершения мойки, ополаскивания и вращения. Времена/скорости — таблица режимов.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сокращать обязательную программу. Доступ к машине — только в безопасном состоянии по паспорту.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180,00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Выгрузка и контроль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Выгрузить в чистую гастроёмкость «СО». Проверить тару, маркировку и результат по действующим требованиям.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передавать несоответствующую продукцию; при отклонении сообщить технологу.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46,63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Передача и возврат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Передать годную продукцию следующему переделу, вернуться к исходной позиции, учесть выполненную помывку.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пересекать сырой и чистый потоки. После 4-й помывки — полный санитарный комплекс.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10,00</w:t>
            </w:r>
          </w:p>
        </w:tc>
      </w:tr>
    </w:tbl>
    <w:p/>
    <w:p>
      <w:r>
        <w:t>Сумма целевых этапов: 356,16 с/партию. Периодическая работа — отдельно. Внеплановые потери не включаются в СОП как обязательные действия. Для других видов применять их собственный хронометраж, а не это время.</w:t>
      </w:r>
    </w:p>
    <w:p>
      <w:r>
        <w:t>Инструмент/ресурс: SOLIA, весы и чистая маркированная тара (состав уточнить на месте). Текстовая схема: сырьё → осмотр/подготовка → взвешивание → SOLIA → чистая тара/контроль → получатель. Фактические фото ОК/NOK и натурная планировка требуют дополнения.</w:t>
      </w:r>
    </w:p>
    <w:p>
      <w:r>
        <w:t>Согласование: технолог / ОТ / руководитель — НЕ ПОДПИСАНО. Перед утверждением заменить модельные времена и проверить безопасную последовательность.</w:t>
      </w:r>
    </w:p>
    <w:p>
      <w:r>
        <w:br w:type="page"/>
      </w:r>
    </w:p>
    <w:p>
      <w:pPr>
        <w:pStyle w:val="Heading1"/>
      </w:pPr>
      <w:r>
        <w:t>Листовой салат: латук · проект СОП</w:t>
      </w:r>
    </w:p>
    <w:p>
      <w:r>
        <w:t>СОП-И-ГЦ-02-ЗЛ/ПРОЕКТ | 1 оператор, 1 SOLIA | Партия 1,5 кг | Целевая модель, не утверждённый норматив</w:t>
      </w:r>
    </w:p>
    <w:p>
      <w:r>
        <w:t>Границы: от осмотра партии до возврата на исходную позицию. Во время автоматической программы другой работы оператор не выполняет. Применяемые СИЗ и паспортные условия допуска определить по действующим документам предприятия.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454"/>
            <w:shd w:fill="246577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814"/>
            <w:shd w:fill="246577"/>
          </w:tcPr>
          <w:p>
            <w:r>
              <w:rPr>
                <w:b/>
                <w:color w:val="FFFFFF"/>
              </w:rPr>
              <w:t>Основной этап</w:t>
            </w:r>
          </w:p>
        </w:tc>
        <w:tc>
          <w:tcPr>
            <w:tcW w:type="dxa" w:w="3515"/>
            <w:shd w:fill="246577"/>
          </w:tcPr>
          <w:p>
            <w:r>
              <w:rPr>
                <w:b/>
                <w:color w:val="FFFFFF"/>
              </w:rPr>
              <w:t>Ключевые моменты</w:t>
            </w:r>
          </w:p>
        </w:tc>
        <w:tc>
          <w:tcPr>
            <w:tcW w:type="dxa" w:w="3061"/>
            <w:shd w:fill="246577"/>
          </w:tcPr>
          <w:p>
            <w:r>
              <w:rPr>
                <w:b/>
                <w:color w:val="FFFFFF"/>
              </w:rPr>
              <w:t>Причины / контроль</w:t>
            </w:r>
          </w:p>
        </w:tc>
        <w:tc>
          <w:tcPr>
            <w:tcW w:type="dxa" w:w="1077"/>
            <w:shd w:fill="246577"/>
          </w:tcPr>
          <w:p>
            <w:r>
              <w:rPr>
                <w:b/>
                <w:color w:val="FFFFFF"/>
              </w:rPr>
              <w:t>ДЕМО, с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Осмотр и подготовка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Проверить упаковку; исключить порчу, гниль, плесень и посторонние запахи. Удалить стебли, повреждённые и загнившие листья; разделить на отдельные листья.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допустить несоответствующее сырьё. Контроль каждой партии.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128,93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Взвешивание и передача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Отвесить не более 1,5 кг и передать к SOLIA по согласованному маршруту.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перегружать машину; исключить перекрёстное загрязнение.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26,42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Загрузка и запуск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Выбрать программу 01. Загрузка и запуск по паспорту SOLIA.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Сверить продукт, массу и программу перед каждым запуском.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30,69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Автоматическая обработка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Дождаться полного завершения мойки, ополаскивания и вращения. Времена/скорости — таблица режимов.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сокращать обязательную программу. Доступ к машине — только в безопасном состоянии по паспорту.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450,00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Выгрузка и контроль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Выгрузить в чистую гастроёмкость «ЗЕЛЕНЬ». Проверить тару, маркировку и результат по действующим требованиям.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передавать несоответствующую продукцию; при отклонении сообщить технологу.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46,42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Передача и возврат</w:t>
            </w:r>
          </w:p>
        </w:tc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Передать годную продукцию следующему переделу, вернуться к исходной позиции, учесть выполненную помывку.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>
              <w:rPr>
                <w:sz w:val="18"/>
              </w:rPr>
              <w:t>Не пересекать сырой и чистый потоки. После 4-й помывки — полный санитарный комплекс.</w:t>
            </w:r>
          </w:p>
        </w:tc>
        <w:tc>
          <w:tcPr>
            <w:tcW w:type="dxa" w:w="1077"/>
          </w:tcPr>
          <w:p>
            <w:pPr>
              <w:spacing w:after="60" w:before="60"/>
            </w:pPr>
            <w:r>
              <w:rPr>
                <w:sz w:val="18"/>
              </w:rPr>
              <w:t>10,00</w:t>
            </w:r>
          </w:p>
        </w:tc>
      </w:tr>
    </w:tbl>
    <w:p/>
    <w:p>
      <w:r>
        <w:t>Сумма целевых этапов: 692,46 с/партию. Периодическая работа — отдельно. Внеплановые потери не включаются в СОП как обязательные действия. Для других видов применять их собственный хронометраж, а не это время.</w:t>
      </w:r>
    </w:p>
    <w:p>
      <w:r>
        <w:t>Инструмент/ресурс: SOLIA, весы и чистая маркированная тара (состав уточнить на месте). Текстовая схема: сырьё → осмотр/подготовка → взвешивание → SOLIA → чистая тара/контроль → получатель. Фактические фото ОК/NOK и натурная планировка требуют дополнения.</w:t>
      </w:r>
    </w:p>
    <w:p>
      <w:r>
        <w:t>Согласование: технолог / ОТ / руководитель — НЕ ПОДПИСАНО. Перед утверждением заменить модельные времена и проверить безопасную последовательность.</w:t>
      </w:r>
    </w:p>
    <w:p>
      <w:r>
        <w:br w:type="page"/>
      </w:r>
    </w:p>
    <w:p>
      <w:pPr>
        <w:pStyle w:val="Heading1"/>
      </w:pPr>
      <w:r>
        <w:t>Санобработка SOLIA · проект СОП</w:t>
      </w:r>
    </w:p>
    <w:p>
      <w:r>
        <w:t>СОП-И-ГЦ-02-САН/ПРОЕКТ. Регулярность — после каждой 4-й помывки одной машины, независимо от смены продукта. Действия по И-ГЦ-02 выполняются последовательно.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454"/>
            <w:shd w:fill="246577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3231"/>
            <w:shd w:fill="246577"/>
          </w:tcPr>
          <w:p>
            <w:r>
              <w:rPr>
                <w:b/>
                <w:color w:val="FFFFFF"/>
              </w:rPr>
              <w:t>Действие</w:t>
            </w:r>
          </w:p>
        </w:tc>
        <w:tc>
          <w:tcPr>
            <w:tcW w:type="dxa" w:w="4819"/>
            <w:shd w:fill="246577"/>
          </w:tcPr>
          <w:p>
            <w:r>
              <w:rPr>
                <w:b/>
                <w:color w:val="FFFFFF"/>
              </w:rPr>
              <w:t>Ключевой момент</w:t>
            </w:r>
          </w:p>
        </w:tc>
        <w:tc>
          <w:tcPr>
            <w:tcW w:type="dxa" w:w="1417"/>
            <w:shd w:fill="246577"/>
          </w:tcPr>
          <w:p>
            <w:r>
              <w:rPr>
                <w:b/>
                <w:color w:val="FFFFFF"/>
              </w:rPr>
              <w:t>ДЕМО занятость, с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>
              <w:rPr>
                <w:sz w:val="18"/>
              </w:rPr>
              <w:t>Слить бак после каждой 4-й помывки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sz w:val="18"/>
              </w:rPr>
              <w:t>Слить бак по паспорту SOLIA. Обесточивание по И-ГЦ-02 следует после слива.</w:t>
            </w:r>
          </w:p>
        </w:tc>
        <w:tc>
          <w:tcPr>
            <w:tcW w:type="dxa" w:w="1417"/>
          </w:tcPr>
          <w:p>
            <w:pPr>
              <w:spacing w:after="60" w:before="60"/>
            </w:pPr>
            <w:r>
              <w:rPr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>
              <w:rPr>
                <w:sz w:val="18"/>
              </w:rPr>
              <w:t>После слива выключить и обесточить оборудование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sz w:val="18"/>
              </w:rPr>
              <w:t>После слива выключить и обесточить оборудование. Способ и проверку безопасного состояния уточнить по инструкции ОТ.</w:t>
            </w:r>
          </w:p>
        </w:tc>
        <w:tc>
          <w:tcPr>
            <w:tcW w:type="dxa" w:w="1417"/>
          </w:tcPr>
          <w:p>
            <w:pPr>
              <w:spacing w:after="60" w:before="60"/>
            </w:pPr>
            <w:r>
              <w:rPr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3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>
              <w:rPr>
                <w:sz w:val="18"/>
              </w:rPr>
              <w:t>Промыть бак моющими средствами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sz w:val="18"/>
              </w:rPr>
              <w:t>Промыть бак моющим средством по утверждённой санитарной программе.</w:t>
            </w:r>
          </w:p>
        </w:tc>
        <w:tc>
          <w:tcPr>
            <w:tcW w:type="dxa" w:w="1417"/>
          </w:tcPr>
          <w:p>
            <w:pPr>
              <w:spacing w:after="60" w:before="60"/>
            </w:pPr>
            <w:r>
              <w:rPr>
                <w:sz w:val="18"/>
              </w:rPr>
              <w:t>240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4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>
              <w:rPr>
                <w:sz w:val="18"/>
              </w:rPr>
              <w:t>Продезинфицировать бак по утверждённой программе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sz w:val="18"/>
              </w:rPr>
              <w:t>Продезинфицировать бак. Средство, концентрацию, температуру, экспозицию и необходимость ополаскивания применять только по утверждённым документам.</w:t>
            </w:r>
          </w:p>
        </w:tc>
        <w:tc>
          <w:tcPr>
            <w:tcW w:type="dxa" w:w="1417"/>
          </w:tcPr>
          <w:p>
            <w:pPr>
              <w:spacing w:after="60" w:before="60"/>
            </w:pPr>
            <w:r>
              <w:rPr>
                <w:sz w:val="18"/>
              </w:rPr>
              <w:t>480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60" w:before="60"/>
            </w:pPr>
            <w:r>
              <w:rPr>
                <w:sz w:val="18"/>
              </w:rPr>
              <w:t>5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>
              <w:rPr>
                <w:sz w:val="18"/>
              </w:rPr>
              <w:t>Восстановить готовность SOLIA по паспорту оборудования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sz w:val="18"/>
              </w:rPr>
              <w:t>Восстановить готовность по паспорту машины и санитарной программе. Это плановое дополнение; проверить состав действий и контроль.</w:t>
            </w:r>
          </w:p>
        </w:tc>
        <w:tc>
          <w:tcPr>
            <w:tcW w:type="dxa" w:w="1417"/>
          </w:tcPr>
          <w:p>
            <w:pPr>
              <w:spacing w:after="60" w:before="60"/>
            </w:pPr>
            <w:r>
              <w:rPr>
                <w:sz w:val="18"/>
              </w:rPr>
              <w:t>120</w:t>
            </w:r>
          </w:p>
        </w:tc>
      </w:tr>
    </w:tbl>
    <w:p/>
    <w:p>
      <w:r>
        <w:t>Итого демонстрационное занятие комплекса: 915 с. Это сумма условных длительностей, а не установленная санитарная норма. В частности, 480 с НЕ означает предписанную экспозицию дезсредства.</w:t>
      </w:r>
    </w:p>
    <w:p>
      <w:r>
        <w:t>В И-ГЦ-02 нет названий средств, концентраций, температур, выдержек и перечня СИЗ. Эти параметры не назначены данной моделью. До использования необходимо дополнить по инструкциям средств, санитарной программе, паспорту SOLIA и требованиям ОТ.</w:t>
      </w:r>
    </w:p>
    <w:p>
      <w:r>
        <w:t>При неполной последней четвёрке книга по умолчанию резервирует ещё один комплекс. Это консервативное допущение планирования; уточнить фактический порядок завершения смены. Не учитывать эту работу повторно в фиксированном завершении смены.</w:t>
      </w:r>
    </w:p>
    <w:p>
      <w:r>
        <w:t>Средства/инструмент/СИЗ: по утверждённой санитарной программе и инструкциям ОТ — требуется уточнение. Контроль: счётчик помывок, безопасное состояние, завершение очистки и дезинфекции, готовность к работе. Формы регистрации согласовать на предприятии.</w:t>
      </w:r>
    </w:p>
    <w:p>
      <w:r>
        <w:t>Разработал / технолог / ОТ / утверждает: НЕ ПОДПИСАНО. Дата утверждения отсутствует. Плановое время нельзя использовать как технологический режим обработки.</w:t>
      </w:r>
    </w:p>
    <w:p>
      <w:r>
        <w:br w:type="page"/>
      </w:r>
    </w:p>
    <w:p>
      <w:pPr>
        <w:pStyle w:val="Heading1"/>
      </w:pPr>
      <w:r>
        <w:t>Лист согласования и применения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14"/>
            <w:shd w:fill="246577"/>
          </w:tcPr>
          <w:p>
            <w:r>
              <w:rPr>
                <w:b/>
                <w:color w:val="FFFFFF"/>
              </w:rPr>
              <w:t>Шаг</w:t>
            </w:r>
          </w:p>
        </w:tc>
        <w:tc>
          <w:tcPr>
            <w:tcW w:type="dxa" w:w="6236"/>
            <w:shd w:fill="246577"/>
          </w:tcPr>
          <w:p>
            <w:r>
              <w:rPr>
                <w:b/>
                <w:color w:val="FFFFFF"/>
              </w:rPr>
              <w:t>Что подтвердить</w:t>
            </w:r>
          </w:p>
        </w:tc>
        <w:tc>
          <w:tcPr>
            <w:tcW w:type="dxa" w:w="1871"/>
            <w:shd w:fill="246577"/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1. Исходные требования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Сверить реквизиты И-ГЦ-02, действующий паспорт SOLIA, санитарные средства и СИЗ.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sz w:val="18"/>
              </w:rPr>
              <w:t>Не проверено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2. Наблюдения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≥10 сопоставимых циклов каждого планового вида, 3 наблюдения периодических действий.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sz w:val="18"/>
              </w:rPr>
              <w:t>ДЕМО — заменить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3. Улучшения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Реальное внедрение и контрольные наблюдения без сокращения технологии.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sz w:val="18"/>
              </w:rPr>
              <w:t>Запланировано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4. Утверждение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Критерии СР, чек-лист СОП, фактические подписи уполномоченных лиц.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sz w:val="18"/>
              </w:rPr>
              <w:t>Не утверждено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5. Обучение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Показ правильного метода, практическая проверка, реальные записи и подписи.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sz w:val="18"/>
              </w:rPr>
              <w:t>Не проведено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sz w:val="18"/>
              </w:rPr>
              <w:t>6. Размещение / пересмотр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Цветная читаемая версия на РМ, архив предыдущих версий, контроль соблюдения.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sz w:val="18"/>
              </w:rPr>
              <w:t>Запланировано</w:t>
            </w:r>
          </w:p>
        </w:tc>
      </w:tr>
    </w:tbl>
    <w:p/>
    <w:p>
      <w:r>
        <w:t>Готовые формы для заполнения: «Критерии качества СР», «Чек-лист СОП», «План внедрения» и «Лист ознакомления» в Excel. Оценки не подставляются как выполненные автоматически: наличие документа не доказывает применение стандарта.</w:t>
      </w:r>
    </w:p>
    <w:p>
      <w:pPr>
        <w:pStyle w:val="Heading1"/>
      </w:pPr>
      <w:r>
        <w:t>Основание комплекта</w:t>
      </w:r>
    </w:p>
    <w:p>
      <w:r>
        <w:t>МУ-41-2024 «Стандартизированная работа», редакция №4; И-ГЦ-02 по обработке листовых салатов, овощей и зелени (PDF 6 страниц; технологическая таблица на PDF стр. 3); приложения №3–8 из предоставленной ветки. Оригиналы сохранены неизменёнными в sources/.</w:t>
      </w:r>
    </w:p>
    <w:p>
      <w:r>
        <w:t>GitHub: mrvladislavtkachenko-debug/5cCheckList; ветка arena/01a0706d-5cchecklist; коммит 3fdca2bd9f76e52ae0ac5778e7d35fdd8186002f.</w:t>
      </w:r>
    </w:p>
    <w:p>
      <w:r>
        <w:t>Числовые изменения выполнять в Excel. Word содержит снимок исходного примера и не связан с XLSX автоматически. Перевод в производственный стандарт возможен только после фактической проверки, согласования и утверждения.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Статический снимок ДЕМО. Актуальные числа после изменений — в Excel.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И-ГЦ-02   /   ПРОЕКТЫ СОП   /   НЕ УТВЕРЖДЕНО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4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44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