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28"/>
        </w:rPr>
        <w:t>INTER SELECT PRO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141C24"/>
          <w:sz w:val="20"/>
        </w:rPr>
        <w:t>Лига «Интер Селект Про»  ·  Академия «Селект Про»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20"/>
        </w:rPr>
        <w:t>interselectpro.ru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8"/>
        </w:rPr>
        <w:t>ДОПОЛНИТЕЛЬНОЕ СОГЛАШЕНИЕ № 1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специальный академический статус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к соглашению об инвестициях в спортивное развитие</w:t>
        <w:br/>
        <w:t>от «___» ______________ 202__ 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г. ____________________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«___» ______________ 202__ г.</w:t>
            </w:r>
          </w:p>
        </w:tc>
      </w:tr>
    </w:tbl>
    <w:p>
      <w:pPr>
        <w:spacing w:before="160" w:after="40" w:line="269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Управляющая компания Лиги «Интер Селект Про» и Академии «Селект Про», далее — «Лига», в лице директора ______________________________________, с одной стороны, и</w:t>
      </w:r>
    </w:p>
    <w:p>
      <w:pPr>
        <w:spacing w:before="80" w:after="40" w:line="269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участник (студент-квотник) ______________________________________, паспорт серия ________ № ____________, зачисленный в вуз-партнёр ______________________________________, далее — «Участник», с другой стороны, вместе — «Стороны», заключили соглашение о нижеследующем.</w:t>
      </w:r>
    </w:p>
    <w:p>
      <w:pPr>
        <w:spacing w:before="80" w:after="40" w:line="269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Соглашение является обязательным приложением к базовому соглашению об инвестициях в спортивное развитие.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1. Предмет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1.1.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Соглашение фиксирует права и обязанности сторон, которые возникают, потому что Лига содействует предоставлению Участнику квотного места для обучения в вузе-партнёре и места в общежитии этого вуза.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2. Обязанности участника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 дисциплине Лиги Участник обязуется: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приезжать на все официальные игровые сессии, интенсивные спортивные сессии и тренировочные уикенды Лиги и Академии по утверждённому графику;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выступать на сессиях Лиги только в официальной экипировке, оплаченной вузом-партнёром: символика Select Pro — на груди, логотип вуза — в блоке интеграции;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соблюдать правила честной игры и единый регламент спортивных сессий.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 учёбе и быту Участник обязуется: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осваивать программу вуза-партнёра и не пропускать занятия без уважительной причины в дни, свободные от сессий Лиги;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соблюдать устав вуза-партнёра и правила студенческого общежития.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3. Нарушения и последствия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Участник признаёт, что обучение и проживание по квоте вуза связаны с его статусом действующего члена Академии Select Pro.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При систематическом нарушении спортивной дисциплины Лиги — пропуск сессий без уважительной причины, неявка на сборы, нарушение регламента — Лига вправе: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в одностороннем порядке отозвать рекомендацию и квоту Участника из вуза-партнёра;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предложить ректорату отчислить Участника с квотного места и выселить его из общежития.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3.3.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Если вуз отчисляет Участника за неуспеваемость или нарушение правил общежития, его статус в Академии и Лиге Select Pro прекращается. Лига начинает досрочное взыскание своих инвестиционных затрат.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4. Заключительные положения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4.1.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Соглашение составлено в двух экземплярах равной силы и вступает в силу с момента зачисления Участника в вуз-партнёр.</w:t>
      </w:r>
    </w:p>
    <w:p>
      <w:pPr>
        <w:spacing w:before="280" w:after="8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4"/>
              </w:rPr>
              <w:t>Лига</w:t>
            </w:r>
          </w:p>
          <w:p>
            <w:pPr>
              <w:spacing w:before="20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 / ______________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подпись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4"/>
              </w:rPr>
              <w:t>Участник</w:t>
            </w:r>
          </w:p>
          <w:p>
            <w:pPr>
              <w:spacing w:before="20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 / ______________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подпись</w:t>
            </w:r>
          </w:p>
        </w:tc>
      </w:tr>
    </w:tbl>
    <w:p>
      <w:pPr>
        <w:spacing w:before="32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Inter Select Pro  ·  interselectpro.ru</w:t>
      </w:r>
    </w:p>
    <w:sectPr w:rsidR="00FC693F" w:rsidRPr="0006063C" w:rsidSect="00034616">
      <w:pgSz w:w="11906" w:h="16838"/>
      <w:pgMar w:top="794" w:right="1020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№1 со студентом-квотником</dc:title>
  <dc:subject/>
  <dc:creator>Inter 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