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26"/>
        </w:rPr>
        <w:t>SELECT PRO</w:t>
      </w:r>
    </w:p>
    <w:p>
      <w:pPr>
        <w:spacing w:before="20" w:after="2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5C6874"/>
          <w:sz w:val="20"/>
        </w:rPr>
        <w:t>Внутренний документ для технического директора</w:t>
      </w:r>
    </w:p>
    <w:p>
      <w:pPr>
        <w:spacing w:before="16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6"/>
        </w:rPr>
        <w:t>КАЛЕНДАРНЫЙ ПЛАН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интеграции мультибанковского шлюза платформы</w:t>
        <w:br/>
        <w:t>сентябрь 2026 — май 2027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74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  <w:shd w:fill="F6EFE6" w:val="clear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41C24"/>
                <w:sz w:val="18"/>
              </w:rPr>
              <w:t>Этап</w:t>
            </w:r>
          </w:p>
        </w:tc>
        <w:tc>
          <w:tcPr>
            <w:tcW w:type="dxa" w:w="1587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  <w:shd w:fill="F6EFE6" w:val="clear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41C24"/>
                <w:sz w:val="18"/>
              </w:rPr>
              <w:t>Срок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  <w:shd w:fill="F6EFE6" w:val="clear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41C24"/>
                <w:sz w:val="18"/>
              </w:rPr>
              <w:t>Что делается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  <w:shd w:fill="F6EFE6" w:val="clear"/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41C24"/>
                <w:sz w:val="18"/>
              </w:rPr>
              <w:t>Результат</w:t>
            </w:r>
          </w:p>
        </w:tc>
      </w:tr>
      <w:tr>
        <w:tc>
          <w:tcPr>
            <w:tcW w:type="dxa" w:w="1474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1. ЦФА</w:t>
            </w:r>
          </w:p>
        </w:tc>
        <w:tc>
          <w:tcPr>
            <w:tcW w:type="dxa" w:w="1587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сент–окт 2026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API «А-Токен» Альфа-Банка и Сбер ЦФА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Вход по Альфа-ID и Сбер ID. Покупка цифровой доли ОКН в два шага</w:t>
            </w:r>
          </w:p>
        </w:tc>
      </w:tr>
      <w:tr>
        <w:tc>
          <w:tcPr>
            <w:tcW w:type="dxa" w:w="1474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2. ВЭД и сплит</w:t>
            </w:r>
          </w:p>
        </w:tc>
        <w:tc>
          <w:tcPr>
            <w:tcW w:type="dxa" w:w="1587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нояб–дек 2026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Платёжный хаб API ВТБ и Банка «Санкт-Петербург»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Валютные взносы иностранных команд. Деление платежа: 20% фонд АНО, 30% операционка, 50% призовой фонд</w:t>
            </w:r>
          </w:p>
        </w:tc>
      </w:tr>
      <w:tr>
        <w:tc>
          <w:tcPr>
            <w:tcW w:type="dxa" w:w="1474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3. ЗПИФ и смарт</w:t>
            </w:r>
          </w:p>
        </w:tc>
        <w:tc>
          <w:tcPr>
            <w:tcW w:type="dxa" w:w="1587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янв–фев 2027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Модуль Газпромбанка: эскроу и ЗПИФ. Триггеры кошелька Select Pro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Кэшбэк наставнику 15%. Если вуз прислал флаг академической задолженности, вывод в кабинете студента блокируется</w:t>
            </w:r>
          </w:p>
        </w:tc>
      </w:tr>
      <w:tr>
        <w:tc>
          <w:tcPr>
            <w:tcW w:type="dxa" w:w="1474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4. Тест и ФИС</w:t>
            </w:r>
          </w:p>
        </w:tc>
        <w:tc>
          <w:tcPr>
            <w:tcW w:type="dxa" w:w="1587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март–май 2027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Нагрузка, безопасность, кабинеты 300 квотников, модераторов и кураторов вузов</w:t>
            </w:r>
          </w:p>
        </w:tc>
        <w:tc>
          <w:tcPr>
            <w:tcW w:type="dxa" w:w="3175"/>
            <w:tcBorders>
              <w:top w:val="single" w:sz="4" w:color="C9956A"/>
              <w:left w:val="single" w:sz="4" w:color="C9956A"/>
              <w:bottom w:val="single" w:sz="4" w:color="C9956A"/>
              <w:right w:val="single" w:sz="4" w:color="C9956A"/>
            </w:tcBorders>
          </w:tcPr>
          <w:p>
            <w:pPr>
              <w:spacing w:before="40" w:after="40" w:line="259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18"/>
              </w:rPr>
              <w:t>На финальной сессии считается годовой спортивный индекс и платятся дивиденды из инвестфонда. Платформа готова к сезону-2027</w:t>
            </w:r>
          </w:p>
        </w:tc>
      </w:tr>
    </w:tbl>
    <w:p>
      <w:pPr>
        <w:spacing w:before="240" w:after="4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C9956A"/>
          <w:sz w:val="24"/>
        </w:rPr>
        <w:t>Этап 1. ЦФА и краудфандинг</w:t>
      </w: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 xml:space="preserve">   сентябрь — октябрь 2026</w:t>
      </w:r>
    </w:p>
    <w:p>
      <w:pPr>
        <w:spacing w:before="40" w:after="2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Разработка.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Подключить API «А-Токен» (Альфа-Банк) и Сбер ЦФА.</w:t>
      </w:r>
    </w:p>
    <w:p>
      <w:pPr>
        <w:spacing w:before="2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Результат.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Инвестор входит по Альфа-ID или Сбер ID без отдельной регистрации. На платформе открывается модуль токенизации ОКН: цифровая доля объекта покупается в два шага.</w:t>
      </w:r>
    </w:p>
    <w:p>
      <w:pPr>
        <w:spacing w:before="240" w:after="4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C9956A"/>
          <w:sz w:val="24"/>
        </w:rPr>
        <w:t>Этап 2. Трансграничный шлюз и сплит</w:t>
      </w: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 xml:space="preserve">   ноябрь — декабрь 2026</w:t>
      </w:r>
    </w:p>
    <w:p>
      <w:pPr>
        <w:spacing w:before="40" w:after="2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Разработка.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Поднять платёжный хаб на API ВТБ и Банка «Санкт-Петербург».</w:t>
      </w:r>
    </w:p>
    <w:p>
      <w:pPr>
        <w:spacing w:before="2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Результат.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Принимаются взносы иностранных команд в разных валютах. Входящий платёж делится автоматически: 20% в инвестиционный фонд АНО, 30% на операционные расходы, 50% в призовой фонд.</w:t>
      </w:r>
    </w:p>
    <w:p>
      <w:pPr>
        <w:spacing w:before="240" w:after="4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C9956A"/>
          <w:sz w:val="24"/>
        </w:rPr>
        <w:t>Этап 3. Финансовый контроль и смарт-контракты</w:t>
      </w: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 xml:space="preserve">   январь — февраль 2027</w:t>
      </w:r>
    </w:p>
    <w:p>
      <w:pPr>
        <w:spacing w:before="40" w:after="2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Разработка.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Подключить Газпромбанк: эскроу-счета и ЗПИФ. Задать триггеры в кошельке Select Pro.</w:t>
      </w:r>
    </w:p>
    <w:p>
      <w:pPr>
        <w:spacing w:before="2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Результат.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Наставнику автоматически начисляется кэшбэк 15%. Если CRM вуза присылает флаг «академическая задолженность», API блокирует кнопку «Вывести» в кабинете студента.</w:t>
      </w:r>
    </w:p>
    <w:p>
      <w:pPr>
        <w:spacing w:before="240" w:after="4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C9956A"/>
          <w:sz w:val="24"/>
        </w:rPr>
        <w:t>Этап 4. Нагрузка и финальная сессия</w:t>
      </w:r>
      <w:r>
        <w:rPr>
          <w:rFonts w:ascii="Times New Roman" w:hAnsi="Times New Roman" w:eastAsia="Times New Roman"/>
          <w:b w:val="0"/>
          <w:i w:val="0"/>
          <w:color w:val="5C6874"/>
          <w:sz w:val="22"/>
        </w:rPr>
        <w:t xml:space="preserve">   март — май 2027</w:t>
      </w:r>
    </w:p>
    <w:p>
      <w:pPr>
        <w:spacing w:before="40" w:after="2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Разработка.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Проверить безопасность и отладить кабинеты 300 квотников, модераторов и кураторов вузов.</w:t>
      </w:r>
    </w:p>
    <w:p>
      <w:pPr>
        <w:spacing w:before="20" w:after="40" w:line="269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Результат.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 мае, на финальной интенсивной сессии, система считает годовой накопительный спортивный индекс и выплачивает дивиденды из инвестиционного фонда. К сезону-2027 платформа должна быть готова.</w:t>
      </w:r>
    </w:p>
    <w:p>
      <w:pPr>
        <w:spacing w:before="240" w:after="0" w:line="259" w:lineRule="auto"/>
        <w:jc w:val="both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Документ — техническое задание по срокам, не публичная страница и не обязательство банков. Доли 20/30/50 и кэшбэк 15% взяты из исходного плана.</w:t>
      </w:r>
    </w:p>
    <w:sectPr w:rsidR="00FC693F" w:rsidRPr="0006063C" w:rsidSect="00034616">
      <w:pgSz w:w="11906" w:h="16838"/>
      <w:pgMar w:top="794" w:right="90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 интеграции шлюза Select Pro</dc:title>
  <dc:subject/>
  <dc:creator>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