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40"/>
        </w:rPr>
        <w:t>INTER SELECT PRO</w:t>
      </w:r>
    </w:p>
    <w:p>
      <w:pPr>
        <w:spacing w:before="20" w:after="4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141C24"/>
          <w:sz w:val="24"/>
        </w:rPr>
        <w:t>Международная образовательная и спортивная сеть</w:t>
      </w:r>
    </w:p>
    <w:p>
      <w:pPr>
        <w:spacing w:before="4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>Калининград  ·  с 2023 года</w:t>
      </w:r>
    </w:p>
    <w:p>
      <w:pPr>
        <w:spacing w:before="4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41C24"/>
          <w:sz w:val="22"/>
        </w:rPr>
        <w:t>interselectpro.ru</w:t>
      </w:r>
      <w:r>
        <w:rPr>
          <w:rFonts w:ascii="Times New Roman" w:hAnsi="Times New Roman" w:eastAsia="Times New Roman"/>
          <w:b w:val="0"/>
          <w:i w:val="0"/>
          <w:color w:val="C9956A"/>
          <w:sz w:val="22"/>
        </w:rPr>
        <w:t xml:space="preserve">    ·    </w:t>
      </w:r>
      <w:r>
        <w:rPr>
          <w:rFonts w:ascii="Times New Roman" w:hAnsi="Times New Roman" w:eastAsia="Times New Roman"/>
          <w:b w:val="0"/>
          <w:i w:val="0"/>
          <w:color w:val="141C24"/>
          <w:sz w:val="22"/>
        </w:rPr>
        <w:t>info@interselectpro.ru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20"/>
        </w:rPr>
        <w:t>Хоккей  ·  Футбол  ·  Баскетбол  ·  Водное поло  ·  Фигурное катание  ·  Гольф</w:t>
      </w:r>
    </w:p>
    <w:p>
      <w:pPr>
        <w:spacing w:before="4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</w:r>
    </w:p>
    <w:p>
      <w:pPr>
        <w:spacing w:before="12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Inter Select Pro  ·  interselectpro.ru  ·  info@interselectpro.ru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Inter Select Pro</dc:title>
  <dc:subject>Бланк с логотипом и данными организации</dc:subject>
  <dc:creator>Inter 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