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59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92000" cy="79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do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92000" cy="7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0" w:line="259" w:lineRule="auto"/>
        <w:jc w:val="center"/>
      </w:pPr>
      <w:r>
        <w:rPr>
          <w:rFonts w:ascii="Times New Roman" w:hAnsi="Times New Roman" w:eastAsia="Times New Roman"/>
          <w:b/>
          <w:i w:val="0"/>
          <w:color w:val="C9956A"/>
          <w:sz w:val="28"/>
        </w:rPr>
        <w:t>INTER SELECT PRO</w:t>
      </w:r>
    </w:p>
    <w:p>
      <w:pPr>
        <w:spacing w:before="0" w:after="40" w:line="259" w:lineRule="auto"/>
        <w:jc w:val="center"/>
      </w:pPr>
      <w:r>
        <w:rPr>
          <w:rFonts w:ascii="Times New Roman" w:hAnsi="Times New Roman" w:eastAsia="Times New Roman"/>
          <w:b w:val="0"/>
          <w:i/>
          <w:color w:val="141C24"/>
          <w:sz w:val="20"/>
        </w:rPr>
        <w:t>Платформа Select Pro  ·  АНО «Селект Про Спорт»</w:t>
      </w:r>
    </w:p>
    <w:p>
      <w:pPr>
        <w:spacing w:before="0" w:after="40" w:line="259" w:lineRule="auto"/>
        <w:jc w:val="center"/>
      </w:pPr>
      <w:r>
        <w:rPr>
          <w:rFonts w:ascii="Times New Roman" w:hAnsi="Times New Roman" w:eastAsia="Times New Roman"/>
          <w:b w:val="0"/>
          <w:i w:val="0"/>
          <w:color w:val="5C6874"/>
          <w:sz w:val="20"/>
        </w:rPr>
        <w:t>interselectpro.ru</w:t>
      </w:r>
    </w:p>
    <w:p>
      <w:pPr>
        <w:spacing w:before="0" w:after="120" w:line="259" w:lineRule="auto"/>
        <w:jc w:val="center"/>
      </w:pPr>
      <w:r>
        <w:rPr>
          <w:rFonts w:ascii="Times New Roman" w:hAnsi="Times New Roman" w:eastAsia="Times New Roman"/>
          <w:b w:val="0"/>
          <w:i w:val="0"/>
          <w:color w:val="C9956A"/>
          <w:sz w:val="16"/>
        </w:rPr>
        <w:t>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40" w:line="259" w:lineRule="auto"/>
        <w:jc w:val="center"/>
      </w:pPr>
      <w:r>
        <w:rPr>
          <w:rFonts w:ascii="Times New Roman" w:hAnsi="Times New Roman" w:eastAsia="Times New Roman"/>
          <w:b/>
          <w:i w:val="0"/>
          <w:color w:val="141C24"/>
          <w:sz w:val="28"/>
        </w:rPr>
        <w:t>ПОЛЬЗОВАТЕЛЬСКОЕ СОГЛАШЕНИЕ</w:t>
      </w:r>
    </w:p>
    <w:p>
      <w:pPr>
        <w:spacing w:before="0" w:after="40" w:line="259" w:lineRule="auto"/>
        <w:jc w:val="center"/>
      </w:pPr>
      <w:r>
        <w:rPr>
          <w:rFonts w:ascii="Times New Roman" w:hAnsi="Times New Roman" w:eastAsia="Times New Roman"/>
          <w:b/>
          <w:i w:val="0"/>
          <w:color w:val="141C24"/>
          <w:sz w:val="24"/>
        </w:rPr>
        <w:t>инвестора цифровых финансовых активов</w:t>
      </w:r>
    </w:p>
    <w:p>
      <w:pPr>
        <w:spacing w:before="40" w:after="160" w:line="259" w:lineRule="auto"/>
        <w:jc w:val="center"/>
      </w:pPr>
      <w:r>
        <w:rPr>
          <w:rFonts w:ascii="Times New Roman" w:hAnsi="Times New Roman" w:eastAsia="Times New Roman"/>
          <w:b w:val="0"/>
          <w:i/>
          <w:color w:val="5C6874"/>
          <w:sz w:val="22"/>
        </w:rPr>
        <w:t>Фрагмент. Подписывается инвестором в личном кабинете</w:t>
        <w:br/>
        <w:t>в электронном виде перед покупкой долей.</w:t>
      </w:r>
    </w:p>
    <w:p>
      <w:pPr>
        <w:spacing w:before="240" w:after="80" w:line="259" w:lineRule="auto"/>
        <w:jc w:val="center"/>
      </w:pPr>
      <w:r>
        <w:rPr>
          <w:rFonts w:ascii="Times New Roman" w:hAnsi="Times New Roman" w:eastAsia="Times New Roman"/>
          <w:b/>
          <w:i w:val="0"/>
          <w:color w:val="141C24"/>
          <w:sz w:val="24"/>
        </w:rPr>
        <w:t>1. Предмет</w:t>
      </w:r>
    </w:p>
    <w:p>
      <w:pPr>
        <w:spacing w:before="60" w:after="40" w:line="276" w:lineRule="auto"/>
        <w:jc w:val="both"/>
      </w:pPr>
      <w:r>
        <w:rPr>
          <w:rFonts w:ascii="Times New Roman" w:hAnsi="Times New Roman" w:eastAsia="Times New Roman"/>
          <w:b/>
          <w:i w:val="0"/>
          <w:color w:val="141C24"/>
          <w:sz w:val="24"/>
        </w:rPr>
        <w:t xml:space="preserve">1.1. </w:t>
      </w:r>
      <w:r>
        <w:rPr>
          <w:rFonts w:ascii="Times New Roman" w:hAnsi="Times New Roman" w:eastAsia="Times New Roman"/>
          <w:b w:val="0"/>
          <w:i w:val="0"/>
          <w:color w:val="141C24"/>
          <w:sz w:val="24"/>
        </w:rPr>
        <w:t>Соглашение регулирует доступ Инвестора к инвестиционному контуру платформы Select Pro, покупку цифровых финансовых активов, выпущенных на информационной платформе партнёра (Альфа-Банк), и получение дохода от редевелопмента объектов культурного наследия и создания кластеров.</w:t>
      </w:r>
    </w:p>
    <w:p>
      <w:pPr>
        <w:spacing w:before="240" w:after="80" w:line="259" w:lineRule="auto"/>
        <w:jc w:val="center"/>
      </w:pPr>
      <w:r>
        <w:rPr>
          <w:rFonts w:ascii="Times New Roman" w:hAnsi="Times New Roman" w:eastAsia="Times New Roman"/>
          <w:b/>
          <w:i w:val="0"/>
          <w:color w:val="141C24"/>
          <w:sz w:val="24"/>
        </w:rPr>
        <w:t>2. Инвестирование и выплаты</w:t>
      </w:r>
    </w:p>
    <w:p>
      <w:pPr>
        <w:spacing w:before="60" w:after="40" w:line="276" w:lineRule="auto"/>
        <w:jc w:val="both"/>
      </w:pPr>
      <w:r>
        <w:rPr>
          <w:rFonts w:ascii="Times New Roman" w:hAnsi="Times New Roman" w:eastAsia="Times New Roman"/>
          <w:b/>
          <w:i w:val="0"/>
          <w:color w:val="141C24"/>
          <w:sz w:val="24"/>
        </w:rPr>
        <w:t xml:space="preserve">2.1. </w:t>
      </w:r>
      <w:r>
        <w:rPr>
          <w:rFonts w:ascii="Times New Roman" w:hAnsi="Times New Roman" w:eastAsia="Times New Roman"/>
          <w:b w:val="0"/>
          <w:i w:val="0"/>
          <w:color w:val="141C24"/>
          <w:sz w:val="24"/>
        </w:rPr>
        <w:t>Инвестор покупает ЦФА через шлюз оператора ЦФА (Альфа-Банк), по решению о выпуске конкретного объекта недвижимости (кластера).</w:t>
      </w:r>
    </w:p>
    <w:p>
      <w:pPr>
        <w:spacing w:before="60" w:after="40" w:line="276" w:lineRule="auto"/>
        <w:jc w:val="both"/>
      </w:pPr>
      <w:r>
        <w:rPr>
          <w:rFonts w:ascii="Times New Roman" w:hAnsi="Times New Roman" w:eastAsia="Times New Roman"/>
          <w:b/>
          <w:i w:val="0"/>
          <w:color w:val="141C24"/>
          <w:sz w:val="24"/>
        </w:rPr>
        <w:t xml:space="preserve">2.2. </w:t>
      </w:r>
      <w:r>
        <w:rPr>
          <w:rFonts w:ascii="Times New Roman" w:hAnsi="Times New Roman" w:eastAsia="Times New Roman"/>
          <w:b w:val="0"/>
          <w:i w:val="0"/>
          <w:color w:val="141C24"/>
          <w:sz w:val="24"/>
        </w:rPr>
        <w:t xml:space="preserve"> Денежные требования по ЦФА обеспечены арендными и коммерческими потоками спортивно-образовательных кластеров, включая гарантированные целевые поступления от вузов-партнёров за размещение студентов-квотников Академии Select Pro.</w:t>
      </w:r>
    </w:p>
    <w:p>
      <w:pPr>
        <w:spacing w:before="60" w:after="40" w:line="276" w:lineRule="auto"/>
        <w:jc w:val="both"/>
      </w:pPr>
      <w:r>
        <w:rPr>
          <w:rFonts w:ascii="Times New Roman" w:hAnsi="Times New Roman" w:eastAsia="Times New Roman"/>
          <w:b/>
          <w:i w:val="0"/>
          <w:color w:val="141C24"/>
          <w:sz w:val="24"/>
        </w:rPr>
        <w:t xml:space="preserve">2.3. </w:t>
      </w:r>
      <w:r>
        <w:rPr>
          <w:rFonts w:ascii="Times New Roman" w:hAnsi="Times New Roman" w:eastAsia="Times New Roman"/>
          <w:b w:val="0"/>
          <w:i w:val="0"/>
          <w:color w:val="141C24"/>
          <w:sz w:val="24"/>
        </w:rPr>
        <w:t>Доход по ЦФА распределяется и выплачивается автоматически, по алгоритмам смарт-контрактов информационной системы Альфа-Банка.</w:t>
      </w:r>
    </w:p>
    <w:p>
      <w:pPr>
        <w:spacing w:before="240" w:after="80" w:line="259" w:lineRule="auto"/>
        <w:jc w:val="center"/>
      </w:pPr>
      <w:r>
        <w:rPr>
          <w:rFonts w:ascii="Times New Roman" w:hAnsi="Times New Roman" w:eastAsia="Times New Roman"/>
          <w:b/>
          <w:i w:val="0"/>
          <w:color w:val="141C24"/>
          <w:sz w:val="24"/>
        </w:rPr>
        <w:t>3. Налоговый режим</w:t>
      </w:r>
    </w:p>
    <w:p>
      <w:pPr>
        <w:spacing w:before="60" w:after="40" w:line="276" w:lineRule="auto"/>
        <w:jc w:val="both"/>
      </w:pPr>
      <w:r>
        <w:rPr>
          <w:rFonts w:ascii="Times New Roman" w:hAnsi="Times New Roman" w:eastAsia="Times New Roman"/>
          <w:b/>
          <w:i w:val="0"/>
          <w:color w:val="141C24"/>
          <w:sz w:val="24"/>
        </w:rPr>
        <w:t xml:space="preserve">3.1. </w:t>
      </w:r>
      <w:r>
        <w:rPr>
          <w:rFonts w:ascii="Times New Roman" w:hAnsi="Times New Roman" w:eastAsia="Times New Roman"/>
          <w:b w:val="0"/>
          <w:i w:val="0"/>
          <w:color w:val="141C24"/>
          <w:sz w:val="24"/>
        </w:rPr>
        <w:t xml:space="preserve"> Эмитент ЦФА — ООО «Селект Про Девелопмент» — резидент особой экономической зоны. Статус резидента гарантирует льготную ставку 0% на прибыль, в соответствии с законодательством об ОЭЗ, при расчёте доходности активов.</w:t>
      </w:r>
    </w:p>
    <w:p>
      <w:pPr>
        <w:spacing w:before="280" w:after="40" w:line="259" w:lineRule="auto"/>
        <w:jc w:val="both"/>
      </w:pPr>
      <w:r>
        <w:rPr>
          <w:rFonts w:ascii="Times New Roman" w:hAnsi="Times New Roman" w:eastAsia="Times New Roman"/>
          <w:b w:val="0"/>
          <w:i w:val="0"/>
          <w:color w:val="141C24"/>
          <w:sz w:val="24"/>
        </w:rPr>
        <w:t>Инвестор подтверждает, что ознакомился с этим фрагментом соглашения и принимает его перед покупкой долей.</w:t>
      </w:r>
    </w:p>
    <w:p>
      <w:pPr>
        <w:spacing w:before="240" w:after="40" w:line="259" w:lineRule="auto"/>
        <w:jc w:val="left"/>
      </w:pPr>
      <w:r>
        <w:rPr>
          <w:rFonts w:ascii="Times New Roman" w:hAnsi="Times New Roman" w:eastAsia="Times New Roman"/>
          <w:b/>
          <w:i w:val="0"/>
          <w:color w:val="141C24"/>
          <w:sz w:val="24"/>
        </w:rPr>
        <w:t>Инвестор</w:t>
      </w:r>
    </w:p>
    <w:p>
      <w:pPr>
        <w:spacing w:before="40" w:after="0" w:line="259" w:lineRule="auto"/>
        <w:jc w:val="left"/>
      </w:pPr>
      <w:r>
        <w:rPr>
          <w:rFonts w:ascii="Times New Roman" w:hAnsi="Times New Roman" w:eastAsia="Times New Roman"/>
          <w:b w:val="0"/>
          <w:i w:val="0"/>
          <w:color w:val="141C24"/>
          <w:sz w:val="24"/>
        </w:rPr>
        <w:t>ФИО ______________________________________</w:t>
      </w:r>
    </w:p>
    <w:p>
      <w:pPr>
        <w:spacing w:before="160" w:after="0" w:line="259" w:lineRule="auto"/>
        <w:jc w:val="left"/>
      </w:pPr>
      <w:r>
        <w:rPr>
          <w:rFonts w:ascii="Times New Roman" w:hAnsi="Times New Roman" w:eastAsia="Times New Roman"/>
          <w:b w:val="0"/>
          <w:i w:val="0"/>
          <w:color w:val="141C24"/>
          <w:sz w:val="24"/>
        </w:rPr>
        <w:t>Подпись в личном кабинете ______________    Дата «___» __________ 202__ г.</w:t>
      </w:r>
    </w:p>
    <w:p>
      <w:pPr>
        <w:spacing w:before="320" w:after="40" w:line="259" w:lineRule="auto"/>
        <w:jc w:val="both"/>
      </w:pPr>
      <w:r>
        <w:rPr>
          <w:rFonts w:ascii="Times New Roman" w:hAnsi="Times New Roman" w:eastAsia="Times New Roman"/>
          <w:b w:val="0"/>
          <w:i/>
          <w:color w:val="5C6874"/>
          <w:sz w:val="20"/>
        </w:rPr>
        <w:t>Дальше фрагмент обрывается: нет разделов об отказе от покупки, рисках, персональных данных и применимом праве. Их нужно дописать отдельно, в шаблон они не добавлены.</w:t>
      </w:r>
    </w:p>
    <w:p>
      <w:pPr>
        <w:spacing w:before="240" w:after="0" w:line="259" w:lineRule="auto"/>
        <w:jc w:val="center"/>
      </w:pPr>
      <w:r>
        <w:rPr>
          <w:rFonts w:ascii="Times New Roman" w:hAnsi="Times New Roman" w:eastAsia="Times New Roman"/>
          <w:b w:val="0"/>
          <w:i w:val="0"/>
          <w:color w:val="C9956A"/>
          <w:sz w:val="16"/>
        </w:rPr>
        <w:t>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40" w:after="0" w:line="259" w:lineRule="auto"/>
        <w:jc w:val="center"/>
      </w:pPr>
      <w:r>
        <w:rPr>
          <w:rFonts w:ascii="Times New Roman" w:hAnsi="Times New Roman" w:eastAsia="Times New Roman"/>
          <w:b w:val="0"/>
          <w:i w:val="0"/>
          <w:color w:val="5C6874"/>
          <w:sz w:val="18"/>
        </w:rPr>
        <w:t>Inter Select Pro  ·  АНО «Селект Про Спорт»  ·  interselectpro.ru</w:t>
      </w:r>
    </w:p>
    <w:sectPr w:rsidR="00FC693F" w:rsidRPr="0006063C" w:rsidSect="00034616">
      <w:pgSz w:w="11906" w:h="16838"/>
      <w:pgMar w:top="794" w:right="1020" w:bottom="79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Пользовательское соглашение инвестора ЦФА (фрагмент)</dc:title>
  <dc:subject/>
  <dc:creator>Inter Select Pro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