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C9F1" w14:textId="77777777" w:rsidR="004620D2" w:rsidRPr="004620D2" w:rsidRDefault="004620D2" w:rsidP="004620D2">
      <w:pPr>
        <w:rPr>
          <w:b/>
          <w:bCs/>
          <w:lang w:val="en-US"/>
        </w:rPr>
      </w:pPr>
      <w:r w:rsidRPr="004620D2">
        <w:rPr>
          <w:b/>
          <w:bCs/>
          <w:lang w:val="en-US"/>
        </w:rPr>
        <w:t>Futures-funded programs (intraday-friendly)</w:t>
      </w:r>
    </w:p>
    <w:p w14:paraId="04C1EEFB" w14:textId="77777777" w:rsidR="004620D2" w:rsidRPr="004620D2" w:rsidRDefault="004620D2" w:rsidP="004620D2">
      <w:r w:rsidRPr="004620D2">
        <w:rPr>
          <w:b/>
          <w:bCs/>
        </w:rPr>
        <w:t>Topstep</w:t>
      </w:r>
      <w:r w:rsidRPr="004620D2">
        <w:t xml:space="preserve"> — best fit if you want </w:t>
      </w:r>
      <w:r w:rsidRPr="004620D2">
        <w:rPr>
          <w:i/>
          <w:iCs/>
        </w:rPr>
        <w:t>less “gotcha” drawdown</w:t>
      </w:r>
    </w:p>
    <w:p w14:paraId="1EF9D127" w14:textId="77777777" w:rsidR="004620D2" w:rsidRPr="004620D2" w:rsidRDefault="004620D2" w:rsidP="004620D2">
      <w:pPr>
        <w:numPr>
          <w:ilvl w:val="0"/>
          <w:numId w:val="1"/>
        </w:numPr>
      </w:pPr>
      <w:r w:rsidRPr="004620D2">
        <w:t xml:space="preserve">Their </w:t>
      </w:r>
      <w:r w:rsidRPr="004620D2">
        <w:rPr>
          <w:b/>
          <w:bCs/>
        </w:rPr>
        <w:t>Maximum Loss Limit (MLL)</w:t>
      </w:r>
      <w:r w:rsidRPr="004620D2">
        <w:t xml:space="preserve"> is a key rule, and they also enforce a </w:t>
      </w:r>
      <w:r w:rsidRPr="004620D2">
        <w:rPr>
          <w:b/>
          <w:bCs/>
        </w:rPr>
        <w:t>Daily Loss Limit</w:t>
      </w:r>
      <w:r w:rsidRPr="004620D2">
        <w:t xml:space="preserve"> with auto-liquidation if hit. </w:t>
      </w:r>
      <w:hyperlink r:id="rId5" w:tgtFrame="_blank" w:history="1">
        <w:r w:rsidRPr="004620D2">
          <w:rPr>
            <w:rStyle w:val="Hyperlnk"/>
          </w:rPr>
          <w:t>help.topstep.com+2help.topstep.com+2</w:t>
        </w:r>
      </w:hyperlink>
    </w:p>
    <w:p w14:paraId="70D980F5" w14:textId="77777777" w:rsidR="004620D2" w:rsidRPr="004620D2" w:rsidRDefault="004620D2" w:rsidP="004620D2">
      <w:pPr>
        <w:numPr>
          <w:ilvl w:val="0"/>
          <w:numId w:val="1"/>
        </w:numPr>
      </w:pPr>
      <w:r w:rsidRPr="004620D2">
        <w:t xml:space="preserve">Why it fits MACD intraday: you’ll usually do better in programs where drawdown is </w:t>
      </w:r>
      <w:r w:rsidRPr="004620D2">
        <w:rPr>
          <w:b/>
          <w:bCs/>
        </w:rPr>
        <w:t>not</w:t>
      </w:r>
      <w:r w:rsidRPr="004620D2">
        <w:t xml:space="preserve"> the super-punitive “intraday trailing on unrealized PnL.” Topstep explicitly contrasts EOD-style vs intraday trailing in their education. </w:t>
      </w:r>
      <w:hyperlink r:id="rId6" w:tgtFrame="_blank" w:history="1">
        <w:r w:rsidRPr="004620D2">
          <w:rPr>
            <w:rStyle w:val="Hyperlnk"/>
          </w:rPr>
          <w:t>Topstep</w:t>
        </w:r>
      </w:hyperlink>
    </w:p>
    <w:p w14:paraId="63353542" w14:textId="77777777" w:rsidR="004620D2" w:rsidRPr="004620D2" w:rsidRDefault="004620D2" w:rsidP="004620D2">
      <w:r w:rsidRPr="004620D2">
        <w:rPr>
          <w:b/>
          <w:bCs/>
        </w:rPr>
        <w:t>Earn2Trade (Gauntlet Mini / TCP)</w:t>
      </w:r>
      <w:r w:rsidRPr="004620D2">
        <w:t xml:space="preserve"> — solid “rules are clear” futures route</w:t>
      </w:r>
    </w:p>
    <w:p w14:paraId="0B49015E" w14:textId="77777777" w:rsidR="004620D2" w:rsidRPr="004620D2" w:rsidRDefault="004620D2" w:rsidP="004620D2">
      <w:pPr>
        <w:numPr>
          <w:ilvl w:val="0"/>
          <w:numId w:val="2"/>
        </w:numPr>
      </w:pPr>
      <w:r w:rsidRPr="004620D2">
        <w:t xml:space="preserve">Their Gauntlet Mini page spells out </w:t>
      </w:r>
      <w:r w:rsidRPr="004620D2">
        <w:rPr>
          <w:b/>
          <w:bCs/>
        </w:rPr>
        <w:t>daily loss limits</w:t>
      </w:r>
      <w:r w:rsidRPr="004620D2">
        <w:t xml:space="preserve"> and a drawdown framework. </w:t>
      </w:r>
      <w:hyperlink r:id="rId7" w:tgtFrame="_blank" w:history="1">
        <w:r w:rsidRPr="004620D2">
          <w:rPr>
            <w:rStyle w:val="Hyperlnk"/>
          </w:rPr>
          <w:t>Earn2Trade</w:t>
        </w:r>
      </w:hyperlink>
    </w:p>
    <w:p w14:paraId="0AC62534" w14:textId="77777777" w:rsidR="004620D2" w:rsidRPr="004620D2" w:rsidRDefault="004620D2" w:rsidP="004620D2">
      <w:pPr>
        <w:numPr>
          <w:ilvl w:val="0"/>
          <w:numId w:val="2"/>
        </w:numPr>
      </w:pPr>
      <w:r w:rsidRPr="004620D2">
        <w:t>Why it fits: if you’re systematic and okay trading inside a defined risk box (daily loss + drawdown), it’s straightforward to plan around.</w:t>
      </w:r>
    </w:p>
    <w:p w14:paraId="6E8DFC40" w14:textId="77777777" w:rsidR="004620D2" w:rsidRPr="004620D2" w:rsidRDefault="004620D2" w:rsidP="004620D2">
      <w:r w:rsidRPr="004620D2">
        <w:rPr>
          <w:b/>
          <w:bCs/>
        </w:rPr>
        <w:t>Apex Trader Funding</w:t>
      </w:r>
      <w:r w:rsidRPr="004620D2">
        <w:t xml:space="preserve"> — popular, but understand the </w:t>
      </w:r>
      <w:r w:rsidRPr="004620D2">
        <w:rPr>
          <w:b/>
          <w:bCs/>
        </w:rPr>
        <w:t>trailing threshold</w:t>
      </w:r>
      <w:r w:rsidRPr="004620D2">
        <w:t xml:space="preserve"> mechanics</w:t>
      </w:r>
    </w:p>
    <w:p w14:paraId="58132493" w14:textId="77777777" w:rsidR="004620D2" w:rsidRPr="004620D2" w:rsidRDefault="004620D2" w:rsidP="004620D2">
      <w:pPr>
        <w:numPr>
          <w:ilvl w:val="0"/>
          <w:numId w:val="3"/>
        </w:numPr>
      </w:pPr>
      <w:r w:rsidRPr="004620D2">
        <w:t xml:space="preserve">Apex documents how their </w:t>
      </w:r>
      <w:r w:rsidRPr="004620D2">
        <w:rPr>
          <w:b/>
          <w:bCs/>
        </w:rPr>
        <w:t>trailing threshold/drawdown</w:t>
      </w:r>
      <w:r w:rsidRPr="004620D2">
        <w:t xml:space="preserve"> works for evaluation and funded accounts (and it can be more sensitive to intraday swings). </w:t>
      </w:r>
      <w:hyperlink r:id="rId8" w:tgtFrame="_blank" w:history="1">
        <w:r w:rsidRPr="004620D2">
          <w:rPr>
            <w:rStyle w:val="Hyperlnk"/>
          </w:rPr>
          <w:t>Apex Trader Funding+1</w:t>
        </w:r>
      </w:hyperlink>
    </w:p>
    <w:p w14:paraId="716F0905" w14:textId="77777777" w:rsidR="004620D2" w:rsidRPr="004620D2" w:rsidRDefault="004620D2" w:rsidP="004620D2">
      <w:pPr>
        <w:numPr>
          <w:ilvl w:val="0"/>
          <w:numId w:val="3"/>
        </w:numPr>
      </w:pPr>
      <w:r w:rsidRPr="004620D2">
        <w:t>Why it fits: good if you’re consistent and keep tight risk; less ideal if your style involves letting trades breathe intraday.</w:t>
      </w:r>
    </w:p>
    <w:p w14:paraId="4BB9FB0E" w14:textId="77777777" w:rsidR="004620D2" w:rsidRPr="004620D2" w:rsidRDefault="004620D2" w:rsidP="004620D2">
      <w:pPr>
        <w:rPr>
          <w:b/>
          <w:bCs/>
        </w:rPr>
      </w:pPr>
      <w:r w:rsidRPr="004620D2">
        <w:rPr>
          <w:b/>
          <w:bCs/>
        </w:rPr>
        <w:t>FX / CFDs funded programs (intraday-friendly)</w:t>
      </w:r>
    </w:p>
    <w:p w14:paraId="38E113D7" w14:textId="77777777" w:rsidR="004620D2" w:rsidRPr="004620D2" w:rsidRDefault="004620D2" w:rsidP="004620D2">
      <w:r w:rsidRPr="004620D2">
        <w:rPr>
          <w:b/>
          <w:bCs/>
        </w:rPr>
        <w:t>FTMO</w:t>
      </w:r>
      <w:r w:rsidRPr="004620D2">
        <w:t xml:space="preserve"> — broad instruments, very standardized risk rules</w:t>
      </w:r>
    </w:p>
    <w:p w14:paraId="2DC2EB16" w14:textId="77777777" w:rsidR="004620D2" w:rsidRPr="004620D2" w:rsidRDefault="004620D2" w:rsidP="004620D2">
      <w:pPr>
        <w:numPr>
          <w:ilvl w:val="0"/>
          <w:numId w:val="4"/>
        </w:numPr>
      </w:pPr>
      <w:r w:rsidRPr="004620D2">
        <w:t xml:space="preserve">FTMO’s “Normal risk” uses </w:t>
      </w:r>
      <w:r w:rsidRPr="004620D2">
        <w:rPr>
          <w:b/>
          <w:bCs/>
        </w:rPr>
        <w:t>Maximum Daily Loss (5%)</w:t>
      </w:r>
      <w:r w:rsidRPr="004620D2">
        <w:t xml:space="preserve"> and a clear breach rule if exceeded. </w:t>
      </w:r>
      <w:hyperlink r:id="rId9" w:tgtFrame="_blank" w:history="1">
        <w:r w:rsidRPr="004620D2">
          <w:rPr>
            <w:rStyle w:val="Hyperlnk"/>
          </w:rPr>
          <w:t>FTMO Academy</w:t>
        </w:r>
      </w:hyperlink>
    </w:p>
    <w:p w14:paraId="29C16583" w14:textId="77777777" w:rsidR="004620D2" w:rsidRPr="004620D2" w:rsidRDefault="004620D2" w:rsidP="004620D2">
      <w:pPr>
        <w:numPr>
          <w:ilvl w:val="0"/>
          <w:numId w:val="4"/>
        </w:numPr>
      </w:pPr>
      <w:r w:rsidRPr="004620D2">
        <w:t xml:space="preserve">They allow a wide range of instruments on-platform (FX, indices, commodities, stocks, crypto, etc.). </w:t>
      </w:r>
      <w:hyperlink r:id="rId10" w:tgtFrame="_blank" w:history="1">
        <w:r w:rsidRPr="004620D2">
          <w:rPr>
            <w:rStyle w:val="Hyperlnk"/>
          </w:rPr>
          <w:t>FTMO.com</w:t>
        </w:r>
      </w:hyperlink>
    </w:p>
    <w:p w14:paraId="7B60271B" w14:textId="77777777" w:rsidR="004620D2" w:rsidRPr="004620D2" w:rsidRDefault="004620D2" w:rsidP="004620D2">
      <w:pPr>
        <w:numPr>
          <w:ilvl w:val="0"/>
          <w:numId w:val="4"/>
        </w:numPr>
      </w:pPr>
      <w:r w:rsidRPr="004620D2">
        <w:t xml:space="preserve">“Reputable signal”: FTMO completed the acquisition of </w:t>
      </w:r>
      <w:r w:rsidRPr="004620D2">
        <w:rPr>
          <w:b/>
          <w:bCs/>
        </w:rPr>
        <w:t>OANDA</w:t>
      </w:r>
      <w:r w:rsidRPr="004620D2">
        <w:t xml:space="preserve"> (Dec 2025). </w:t>
      </w:r>
      <w:hyperlink r:id="rId11" w:tgtFrame="_blank" w:history="1">
        <w:r w:rsidRPr="004620D2">
          <w:rPr>
            <w:rStyle w:val="Hyperlnk"/>
          </w:rPr>
          <w:t>FTMO x OANDA+2OANDA+2</w:t>
        </w:r>
      </w:hyperlink>
    </w:p>
    <w:p w14:paraId="32C932D1" w14:textId="77777777" w:rsidR="004620D2" w:rsidRPr="004620D2" w:rsidRDefault="004620D2" w:rsidP="004620D2">
      <w:r w:rsidRPr="004620D2">
        <w:rPr>
          <w:b/>
          <w:bCs/>
        </w:rPr>
        <w:t>The5ers</w:t>
      </w:r>
      <w:r w:rsidRPr="004620D2">
        <w:t xml:space="preserve"> — similar daily/overall loss framework (program-dependent)</w:t>
      </w:r>
    </w:p>
    <w:p w14:paraId="6BAF4714" w14:textId="77777777" w:rsidR="004620D2" w:rsidRPr="004620D2" w:rsidRDefault="004620D2" w:rsidP="004620D2">
      <w:pPr>
        <w:numPr>
          <w:ilvl w:val="0"/>
          <w:numId w:val="5"/>
        </w:numPr>
      </w:pPr>
      <w:r w:rsidRPr="004620D2">
        <w:t xml:space="preserve">For High Stakes, their help center states </w:t>
      </w:r>
      <w:r w:rsidRPr="004620D2">
        <w:rPr>
          <w:b/>
          <w:bCs/>
        </w:rPr>
        <w:t>10% max loss</w:t>
      </w:r>
      <w:r w:rsidRPr="004620D2">
        <w:t xml:space="preserve"> and </w:t>
      </w:r>
      <w:r w:rsidRPr="004620D2">
        <w:rPr>
          <w:b/>
          <w:bCs/>
        </w:rPr>
        <w:t>5% daily loss</w:t>
      </w:r>
      <w:r w:rsidRPr="004620D2">
        <w:t xml:space="preserve"> (with details on how daily loss is calculated). </w:t>
      </w:r>
      <w:hyperlink r:id="rId12" w:tgtFrame="_blank" w:history="1">
        <w:r w:rsidRPr="004620D2">
          <w:rPr>
            <w:rStyle w:val="Hyperlnk"/>
          </w:rPr>
          <w:t>help.the5ers.com</w:t>
        </w:r>
      </w:hyperlink>
    </w:p>
    <w:p w14:paraId="3E46AB39" w14:textId="77777777" w:rsidR="004620D2" w:rsidRPr="004620D2" w:rsidRDefault="004620D2" w:rsidP="004620D2">
      <w:pPr>
        <w:numPr>
          <w:ilvl w:val="0"/>
          <w:numId w:val="5"/>
        </w:numPr>
      </w:pPr>
      <w:r w:rsidRPr="004620D2">
        <w:t>Why it fits: if you want a structured evaluation with scaling paths, and you’re comfortable adapting to program-specific rules.</w:t>
      </w:r>
    </w:p>
    <w:p w14:paraId="38238558" w14:textId="77777777" w:rsidR="004620D2" w:rsidRPr="004620D2" w:rsidRDefault="004620D2" w:rsidP="004620D2">
      <w:pPr>
        <w:rPr>
          <w:b/>
          <w:bCs/>
        </w:rPr>
      </w:pPr>
      <w:r w:rsidRPr="004620D2">
        <w:rPr>
          <w:b/>
          <w:bCs/>
        </w:rPr>
        <w:t>What I’d pick first (based on your style)</w:t>
      </w:r>
    </w:p>
    <w:p w14:paraId="45BF606D" w14:textId="77777777" w:rsidR="004620D2" w:rsidRPr="004620D2" w:rsidRDefault="004620D2" w:rsidP="004620D2">
      <w:pPr>
        <w:numPr>
          <w:ilvl w:val="0"/>
          <w:numId w:val="6"/>
        </w:numPr>
      </w:pPr>
      <w:r w:rsidRPr="004620D2">
        <w:lastRenderedPageBreak/>
        <w:t xml:space="preserve">If you want to trade </w:t>
      </w:r>
      <w:r w:rsidRPr="004620D2">
        <w:rPr>
          <w:b/>
          <w:bCs/>
        </w:rPr>
        <w:t>futures intraday</w:t>
      </w:r>
      <w:r w:rsidRPr="004620D2">
        <w:t xml:space="preserve"> with fewer “intraday trailing drawdown” headaches: </w:t>
      </w:r>
      <w:r w:rsidRPr="004620D2">
        <w:rPr>
          <w:b/>
          <w:bCs/>
        </w:rPr>
        <w:t>Topstep</w:t>
      </w:r>
      <w:r w:rsidRPr="004620D2">
        <w:t xml:space="preserve">. </w:t>
      </w:r>
      <w:hyperlink r:id="rId13" w:tgtFrame="_blank" w:history="1">
        <w:r w:rsidRPr="004620D2">
          <w:rPr>
            <w:rStyle w:val="Hyperlnk"/>
          </w:rPr>
          <w:t>Topstep+1</w:t>
        </w:r>
      </w:hyperlink>
    </w:p>
    <w:p w14:paraId="59E31F2C" w14:textId="77777777" w:rsidR="004620D2" w:rsidRPr="004620D2" w:rsidRDefault="004620D2" w:rsidP="004620D2">
      <w:pPr>
        <w:numPr>
          <w:ilvl w:val="0"/>
          <w:numId w:val="6"/>
        </w:numPr>
      </w:pPr>
      <w:r w:rsidRPr="004620D2">
        <w:t xml:space="preserve">If you want </w:t>
      </w:r>
      <w:r w:rsidRPr="004620D2">
        <w:rPr>
          <w:b/>
          <w:bCs/>
        </w:rPr>
        <w:t>FX/CFDs intraday</w:t>
      </w:r>
      <w:r w:rsidRPr="004620D2">
        <w:t xml:space="preserve"> with very standardized objectives: </w:t>
      </w:r>
      <w:r w:rsidRPr="004620D2">
        <w:rPr>
          <w:b/>
          <w:bCs/>
        </w:rPr>
        <w:t>FTMO</w:t>
      </w:r>
      <w:r w:rsidRPr="004620D2">
        <w:t xml:space="preserve">. </w:t>
      </w:r>
      <w:hyperlink r:id="rId14" w:tgtFrame="_blank" w:history="1">
        <w:r w:rsidRPr="004620D2">
          <w:rPr>
            <w:rStyle w:val="Hyperlnk"/>
          </w:rPr>
          <w:t>FTMO Academy+2FTMO.com+2</w:t>
        </w:r>
      </w:hyperlink>
    </w:p>
    <w:p w14:paraId="792FB233" w14:textId="77777777" w:rsidR="004620D2" w:rsidRPr="004620D2" w:rsidRDefault="004620D2" w:rsidP="004620D2">
      <w:pPr>
        <w:numPr>
          <w:ilvl w:val="0"/>
          <w:numId w:val="6"/>
        </w:numPr>
      </w:pPr>
      <w:r w:rsidRPr="004620D2">
        <w:t xml:space="preserve">If you’re tempted by </w:t>
      </w:r>
      <w:r w:rsidRPr="004620D2">
        <w:rPr>
          <w:b/>
          <w:bCs/>
        </w:rPr>
        <w:t>Apex</w:t>
      </w:r>
      <w:r w:rsidRPr="004620D2">
        <w:t>: only do it if you’re comfortable with how their trailing threshold behaves during intraday swings.</w:t>
      </w:r>
    </w:p>
    <w:p w14:paraId="24B697D0" w14:textId="77777777" w:rsidR="002546D1" w:rsidRDefault="002546D1"/>
    <w:sectPr w:rsidR="00254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F9D"/>
    <w:multiLevelType w:val="multilevel"/>
    <w:tmpl w:val="0E6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56FE"/>
    <w:multiLevelType w:val="multilevel"/>
    <w:tmpl w:val="29F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392A"/>
    <w:multiLevelType w:val="multilevel"/>
    <w:tmpl w:val="981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D5D4F"/>
    <w:multiLevelType w:val="multilevel"/>
    <w:tmpl w:val="BBE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A001C"/>
    <w:multiLevelType w:val="multilevel"/>
    <w:tmpl w:val="E70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0075"/>
    <w:multiLevelType w:val="multilevel"/>
    <w:tmpl w:val="593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926678">
    <w:abstractNumId w:val="0"/>
  </w:num>
  <w:num w:numId="2" w16cid:durableId="1311011764">
    <w:abstractNumId w:val="3"/>
  </w:num>
  <w:num w:numId="3" w16cid:durableId="36203796">
    <w:abstractNumId w:val="1"/>
  </w:num>
  <w:num w:numId="4" w16cid:durableId="745734870">
    <w:abstractNumId w:val="4"/>
  </w:num>
  <w:num w:numId="5" w16cid:durableId="532547034">
    <w:abstractNumId w:val="5"/>
  </w:num>
  <w:num w:numId="6" w16cid:durableId="123897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70"/>
    <w:rsid w:val="002546D1"/>
    <w:rsid w:val="002B20AB"/>
    <w:rsid w:val="004620D2"/>
    <w:rsid w:val="00A55916"/>
    <w:rsid w:val="00B1429A"/>
    <w:rsid w:val="00EA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F16D3-8DCD-4FEC-B0C0-63305243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A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A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A4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A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A4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A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A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A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A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A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A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A4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A497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A497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A497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A497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A497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A497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A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A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A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A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A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A497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A497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A497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A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A497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A497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4620D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62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extraderfunding.com/hc/en-us/articles/31519769997083-Evaluation-Rules?utm_source=chatgpt.com" TargetMode="External"/><Relationship Id="rId13" Type="http://schemas.openxmlformats.org/officeDocument/2006/relationships/hyperlink" Target="https://www.topstep.com/blog/prop-firm-drawdown-rule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arn2trade.com/gauntlet-mini?utm_source=chatgpt.com" TargetMode="External"/><Relationship Id="rId12" Type="http://schemas.openxmlformats.org/officeDocument/2006/relationships/hyperlink" Target="https://help.the5ers.com/what-is-the-maximum-loss-and-the-maximum-daily-loss-in-the-high-stakes-program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opstep.com/blog/prop-firm-drawdown-rules/?utm_source=chatgpt.com" TargetMode="External"/><Relationship Id="rId11" Type="http://schemas.openxmlformats.org/officeDocument/2006/relationships/hyperlink" Target="https://ftmo.oanda.com/press-release/ftmo-completes-acquisition-of-oanda-from-cvc/?utm_source=chatgpt.com" TargetMode="External"/><Relationship Id="rId5" Type="http://schemas.openxmlformats.org/officeDocument/2006/relationships/hyperlink" Target="https://help.topstep.com/en/articles/8284204-what-is-the-maximum-loss-limit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tmo.com/en/faq/which-instruments-can-i-trade-and-what-strategies-am-i-allowed-to-us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demy.ftmo.com/lesson/maximum-daily-loss/?utm_source=chatgpt.com" TargetMode="External"/><Relationship Id="rId14" Type="http://schemas.openxmlformats.org/officeDocument/2006/relationships/hyperlink" Target="https://academy.ftmo.com/lesson/maximum-daily-loss/?utm_source=chatgpt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Wallin</dc:creator>
  <cp:keywords/>
  <dc:description/>
  <cp:lastModifiedBy>Peter Wallin</cp:lastModifiedBy>
  <cp:revision>2</cp:revision>
  <dcterms:created xsi:type="dcterms:W3CDTF">2026-01-01T15:51:00Z</dcterms:created>
  <dcterms:modified xsi:type="dcterms:W3CDTF">2026-01-01T15:51:00Z</dcterms:modified>
</cp:coreProperties>
</file>