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sz w:val="44"/>
          <w:szCs w:val="44"/>
        </w:rPr>
        <w:t xml:space="preserve">Lesson 01 — Importing Data &amp; First Look</w:t>
      </w:r>
    </w:p>
    <w:p>
      <w:pPr>
        <w:spacing w:after="100"/>
      </w:pPr>
      <w:r>
        <w:rPr>
          <w:i/>
          <w:iCs/>
          <w:color w:val="555555"/>
          <w:sz w:val="24"/>
          <w:szCs w:val="24"/>
        </w:rPr>
        <w:t xml:space="preserve">Companion Guide — Stata Curriculum for Survey Researchers</w:t>
      </w:r>
    </w:p>
    <w:p>
      <w:pPr>
        <w:spacing w:after="160"/>
      </w:pPr>
      <w:r>
        <w:rPr>
          <w:color w:val="777777"/>
          <w:sz w:val="20"/>
          <w:szCs w:val="20"/>
        </w:rPr>
        <w:t xml:space="preserve">Lesson 1 of 14  |  Estimated time: 35 minutes  |  Prerequisites: Lesson 00</w:t>
      </w:r>
    </w:p>
    <w:p>
      <w:pPr>
        <w:pBdr>
          <w:bottom w:val="single" w:color="AAAAAA" w:sz="6" w:space="1"/>
        </w:pBdr>
        <w:spacing w:after="200"/>
      </w:pPr>
    </w:p>
    <w:p>
      <w:pPr>
        <w:pStyle w:val="Heading1"/>
        <w:spacing w:after="150" w:before="300"/>
      </w:pPr>
      <w:r>
        <w:t xml:space="preserve">What you'll learn</w:t>
      </w:r>
    </w:p>
    <w:p>
      <w:pPr>
        <w:pStyle w:val="ListParagraph"/>
        <w:numPr>
          <w:ilvl w:val="0"/>
          <w:numId w:val="1"/>
        </w:numPr>
        <w:spacing w:after="80"/>
      </w:pPr>
      <w:r>
        <w:t xml:space="preserve">Importing a raw .csv with import delimited, and the options that matter</w:t>
      </w:r>
    </w:p>
    <w:p>
      <w:pPr>
        <w:pStyle w:val="ListParagraph"/>
        <w:numPr>
          <w:ilvl w:val="0"/>
          <w:numId w:val="1"/>
        </w:numPr>
        <w:spacing w:after="80"/>
      </w:pPr>
      <w:r>
        <w:t xml:space="preserve">Common import pitfalls: delimiters, headers, encoding, and numeric columns silently imported as text</w:t>
      </w:r>
    </w:p>
    <w:p>
      <w:pPr>
        <w:pStyle w:val="ListParagraph"/>
        <w:numPr>
          <w:ilvl w:val="0"/>
          <w:numId w:val="1"/>
        </w:numPr>
        <w:spacing w:after="80"/>
      </w:pPr>
      <w:r>
        <w:t xml:space="preserve">Getting an inventory of a new dataset with describe and codebook</w:t>
      </w:r>
    </w:p>
    <w:p>
      <w:pPr>
        <w:pStyle w:val="ListParagraph"/>
        <w:numPr>
          <w:ilvl w:val="0"/>
          <w:numId w:val="1"/>
        </w:numPr>
        <w:spacing w:after="80"/>
      </w:pPr>
      <w:r>
        <w:t xml:space="preserve">Why browse/edit are a poor substitute for real inspection</w:t>
      </w:r>
    </w:p>
    <w:p>
      <w:pPr>
        <w:pStyle w:val="ListParagraph"/>
        <w:numPr>
          <w:ilvl w:val="0"/>
          <w:numId w:val="1"/>
        </w:numPr>
        <w:spacing w:after="80"/>
      </w:pPr>
      <w:r>
        <w:t xml:space="preserve">Spot-checking with count, summarize, summarize, detail, and list</w:t>
      </w:r>
    </w:p>
    <w:p>
      <w:pPr>
        <w:pStyle w:val="ListParagraph"/>
        <w:numPr>
          <w:ilvl w:val="0"/>
          <w:numId w:val="1"/>
        </w:numPr>
        <w:spacing w:after="80"/>
      </w:pPr>
      <w:r>
        <w:t xml:space="preserve">Recognizing (without yet fixing) messy fields in data/survey_raw.csv</w:t>
      </w:r>
    </w:p>
    <w:p>
      <w:pPr>
        <w:pStyle w:val="Heading1"/>
        <w:spacing w:after="150" w:before="300"/>
      </w:pPr>
      <w:r>
        <w:t xml:space="preserve">Plain-language overview</w:t>
      </w:r>
    </w:p>
    <w:p>
      <w:pPr>
        <w:spacing w:after="160"/>
      </w:pPr>
      <w:r>
        <w:t xml:space="preserve">Lesson 00 was about the workshop; this lesson is about opening your first real dataset and looking at it critically before you trust a single number from it. The file we use, data/survey_raw.csv, is a synthetic but realistic general-population attitudes survey — 1,204 rows, demographics, four Likert trust items, an ordinal policy-support item, a turnout indicator, and a life-satisfaction score, plus survey design fields (region, PSU, weight). It was built to include the kinds of problems real survey exports actually have, so what you find in this lesson is not artificial busywork.</w:t>
      </w:r>
    </w:p>
    <w:p>
      <w:pPr>
        <w:spacing w:after="160"/>
      </w:pPr>
      <w:r>
        <w:t xml:space="preserve">The single most important habit in this lesson is: look before you touch. We run describe, codebook, summarize, and list against the raw import, and we write down everything that looks wrong — but we do not fix anything yet. That separation matters because a cleaning step you didn't fully understand yet is a cleaning step you can't defend later.</w:t>
      </w:r>
    </w:p>
    <w:p>
      <w:pPr>
        <w:pStyle w:val="Heading1"/>
        <w:spacing w:after="150" w:before="300"/>
      </w:pPr>
      <w:r>
        <w:t xml:space="preserve">Why this matters for survey research</w:t>
      </w:r>
    </w:p>
    <w:p>
      <w:pPr>
        <w:spacing w:after="160"/>
      </w:pPr>
      <w:r>
        <w:t xml:space="preserve">Survey data exported from online platforms (Qualtrics, SurveyMonkey, CATI systems, paper-to-data-entry pipelines) routinely arrives with exactly the problems this lesson surfaces: a numeric age or income field that has a handful of "REFUSED"/"N/A" text entries mixed in, a legacy "don't know" code like -99 sitting inside an otherwise clean 1-5 scale, and a region or geography field typed by hand with inconsistent case and stray spaces. If you import such a file and go straight to summarize or tabulate, low-frequency problems like these are easy to miss and can quietly bias a mean, a crosstab, or a regression coefficient. This lesson is about building the reflex to check first.</w:t>
      </w:r>
    </w:p>
    <w:p>
      <w:pPr>
        <w:pStyle w:val="Heading1"/>
        <w:spacing w:after="150" w:before="300"/>
      </w:pPr>
      <w:r>
        <w:t xml:space="preserve">Annotated walkthrough</w:t>
      </w:r>
    </w:p>
    <w:p>
      <w:pPr>
        <w:pStyle w:val="Heading2"/>
        <w:spacing w:after="120" w:before="260"/>
      </w:pPr>
      <w:r>
        <w:t xml:space="preserve">Importing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00"/>
              <w:left w:type="dxa" w:w="150"/>
              <w:bottom w:type="dxa" w:w="100"/>
              <w:right w:type="dxa" w:w="150"/>
            </w:tcMar>
          </w:tcPr>
          <w:p>
            <w:pPr>
              <w:spacing w:after="0"/>
            </w:pPr>
            <w:r>
              <w:rPr>
                <w:rFonts w:ascii="Consolas" w:cs="Consolas" w:eastAsia="Consolas" w:hAnsi="Consolas"/>
                <w:sz w:val="18"/>
                <w:szCs w:val="18"/>
              </w:rPr>
              <w:t xml:space="preserve">import delimited "../../data/survey_raw.csv", varnames(1) case(preserve) clear</w:t>
            </w:r>
          </w:p>
        </w:tc>
      </w:tr>
    </w:tbl>
    <w:p>
      <w:pPr>
        <w:spacing w:after="160"/>
      </w:pPr>
      <w:r>
        <w:t xml:space="preserve">varnames(1) tells Stata that row 1 of the file holds variable names, not data — the single most common import mistake is forgetting this, which leaves you with variables named v1, v2, v3... and your real header row treated as the first observation. Illustrative output: Stata prints a one-line confirmation such as (15 vars, 1,204 obs).</w:t>
      </w:r>
    </w:p>
    <w:p>
      <w:pPr>
        <w:pStyle w:val="Heading2"/>
        <w:spacing w:after="120" w:before="260"/>
      </w:pPr>
      <w:r>
        <w:t xml:space="preserve">Inventory: describe and codebook</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00"/>
              <w:left w:type="dxa" w:w="150"/>
              <w:bottom w:type="dxa" w:w="100"/>
              <w:right w:type="dxa" w:w="150"/>
            </w:tcMar>
          </w:tcPr>
          <w:p>
            <w:pPr>
              <w:spacing w:after="0"/>
            </w:pPr>
            <w:r>
              <w:rPr>
                <w:rFonts w:ascii="Consolas" w:cs="Consolas" w:eastAsia="Consolas" w:hAnsi="Consolas"/>
                <w:sz w:val="18"/>
                <w:szCs w:val="18"/>
              </w:rPr>
              <w:t xml:space="preserve">describe</w:t>
            </w:r>
          </w:p>
          <w:p>
            <w:pPr>
              <w:spacing w:after="0"/>
            </w:pPr>
            <w:r>
              <w:rPr>
                <w:rFonts w:ascii="Consolas" w:cs="Consolas" w:eastAsia="Consolas" w:hAnsi="Consolas"/>
                <w:sz w:val="18"/>
                <w:szCs w:val="18"/>
              </w:rPr>
              <w:t xml:space="preserve">codebook age income_k</w:t>
            </w:r>
          </w:p>
          <w:p>
            <w:pPr>
              <w:spacing w:after="0"/>
            </w:pPr>
            <w:r>
              <w:rPr>
                <w:rFonts w:ascii="Consolas" w:cs="Consolas" w:eastAsia="Consolas" w:hAnsi="Consolas"/>
                <w:sz w:val="18"/>
                <w:szCs w:val="18"/>
              </w:rPr>
              <w:t xml:space="preserve">codebook, compact</w:t>
            </w:r>
          </w:p>
        </w:tc>
      </w:tr>
    </w:tbl>
    <w:p>
      <w:pPr>
        <w:spacing w:after="160"/>
      </w:pPr>
      <w:r>
        <w:t xml:space="preserve">describe's illustrative output is one row per variable listing its storage type, display format, and label — for example, age and income_k will show a storage type like str8 or str12 rather than int or float, which is your first clue that something is off. codebook age gives a fuller picture: number of observations, number of unique values, and — critically — the actual range of values, where you'll see "REFUSED" listed among the entries rather than a clean numeric range. codebook, compact condenses this to one line per variable across the whole dataset, useful as a first-pass scan.</w:t>
      </w:r>
    </w:p>
    <w:p>
      <w:pPr>
        <w:pStyle w:val="Heading2"/>
        <w:spacing w:after="120" w:before="260"/>
      </w:pPr>
      <w:r>
        <w:t xml:space="preserve">Why not browse/edit</w:t>
      </w:r>
    </w:p>
    <w:p>
      <w:pPr>
        <w:spacing w:after="160"/>
      </w:pPr>
      <w:r>
        <w:t xml:space="preserve">browse opens a read-only spreadsheet view; edit opens the same view, editable. Both are fine for a two-second eyeball check, but neither will reliably show you that, say, 4% of trust_gov values are coded -99 — that pattern only becomes visible through a command like tab or codebook that summarizes across all rows. edit in particular is riskier still: it lets you accidentally overwrite a cell with no do-file record of the change, silently breaking reproducibility. This curriculum never uses edit on analysis data.</w:t>
      </w:r>
    </w:p>
    <w:p>
      <w:pPr>
        <w:pStyle w:val="Heading2"/>
        <w:spacing w:after="120" w:before="260"/>
      </w:pPr>
      <w:r>
        <w:t xml:space="preserve">Spot-checking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00"/>
              <w:left w:type="dxa" w:w="150"/>
              <w:bottom w:type="dxa" w:w="100"/>
              <w:right w:type="dxa" w:w="150"/>
            </w:tcMar>
          </w:tcPr>
          <w:p>
            <w:pPr>
              <w:spacing w:after="0"/>
            </w:pPr>
            <w:r>
              <w:rPr>
                <w:rFonts w:ascii="Consolas" w:cs="Consolas" w:eastAsia="Consolas" w:hAnsi="Consolas"/>
                <w:sz w:val="18"/>
                <w:szCs w:val="18"/>
              </w:rPr>
              <w:t xml:space="preserve">count</w:t>
            </w:r>
          </w:p>
          <w:p>
            <w:pPr>
              <w:spacing w:after="0"/>
            </w:pPr>
            <w:r>
              <w:rPr>
                <w:rFonts w:ascii="Consolas" w:cs="Consolas" w:eastAsia="Consolas" w:hAnsi="Consolas"/>
                <w:sz w:val="18"/>
                <w:szCs w:val="18"/>
              </w:rPr>
              <w:t xml:space="preserve">summarize weight psu female educ_raw trust_gov trust_media trust_science trust_local policy_support voted_last_election satisfaction</w:t>
            </w:r>
          </w:p>
          <w:p>
            <w:pPr>
              <w:spacing w:after="0"/>
            </w:pPr>
            <w:r>
              <w:rPr>
                <w:rFonts w:ascii="Consolas" w:cs="Consolas" w:eastAsia="Consolas" w:hAnsi="Consolas"/>
                <w:sz w:val="18"/>
                <w:szCs w:val="18"/>
              </w:rPr>
              <w:t xml:space="preserve">summarize satisfaction, detail</w:t>
            </w:r>
          </w:p>
          <w:p>
            <w:pPr>
              <w:spacing w:after="0"/>
            </w:pPr>
            <w:r>
              <w:rPr>
                <w:rFonts w:ascii="Consolas" w:cs="Consolas" w:eastAsia="Consolas" w:hAnsi="Consolas"/>
                <w:sz w:val="18"/>
                <w:szCs w:val="18"/>
              </w:rPr>
              <w:t xml:space="preserve">list respondent_id region_str age income_k trust_gov in 1/10</w:t>
            </w:r>
          </w:p>
        </w:tc>
      </w:tr>
    </w:tbl>
    <w:p>
      <w:pPr>
        <w:spacing w:after="160"/>
      </w:pPr>
      <w:r>
        <w:t xml:space="preserve">Illustrative output: count prints a single line, e.g. 1,204. summarize prints a table with one row per variable (Obs, Mean, Std. Dev., Min, Max) — note that age and income_k are simply absent from this table as long as they remain strings, which is itself a signal. summarize, detail adds percentiles and skewness/kurtosis, useful for a continuous outcome like satisfaction. list prints the requested variables and rows as a small grid, letting you visually confirm entries like "REFUSED" in the age column and " northeast"/"SOUTH"/"Midwest "/"west" as separate-looking region_str values.</w:t>
      </w:r>
    </w:p>
    <w:p>
      <w:pPr>
        <w:pStyle w:val="Heading2"/>
        <w:spacing w:after="120" w:before="260"/>
      </w:pPr>
      <w:r>
        <w:t xml:space="preserve">Spotting problems without fixing them</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00"/>
              <w:left w:type="dxa" w:w="150"/>
              <w:bottom w:type="dxa" w:w="100"/>
              <w:right w:type="dxa" w:w="150"/>
            </w:tcMar>
          </w:tcPr>
          <w:p>
            <w:pPr>
              <w:spacing w:after="0"/>
            </w:pPr>
            <w:r>
              <w:rPr>
                <w:rFonts w:ascii="Consolas" w:cs="Consolas" w:eastAsia="Consolas" w:hAnsi="Consolas"/>
                <w:sz w:val="18"/>
                <w:szCs w:val="18"/>
              </w:rPr>
              <w:t xml:space="preserve">tab age if !inrange(real(age), 0, 120)</w:t>
            </w:r>
          </w:p>
          <w:p>
            <w:pPr>
              <w:spacing w:after="0"/>
            </w:pPr>
            <w:r>
              <w:rPr>
                <w:rFonts w:ascii="Consolas" w:cs="Consolas" w:eastAsia="Consolas" w:hAnsi="Consolas"/>
                <w:sz w:val="18"/>
                <w:szCs w:val="18"/>
              </w:rPr>
              <w:t xml:space="preserve">tab income_k if income_k == "" | income_k == "N/A"</w:t>
            </w:r>
          </w:p>
          <w:p>
            <w:pPr>
              <w:spacing w:after="0"/>
            </w:pPr>
            <w:r>
              <w:rPr>
                <w:rFonts w:ascii="Consolas" w:cs="Consolas" w:eastAsia="Consolas" w:hAnsi="Consolas"/>
                <w:sz w:val="18"/>
                <w:szCs w:val="18"/>
              </w:rPr>
              <w:t xml:space="preserve">tab trust_gov, missing</w:t>
            </w:r>
          </w:p>
          <w:p>
            <w:pPr>
              <w:spacing w:after="0"/>
            </w:pPr>
            <w:r>
              <w:rPr>
                <w:rFonts w:ascii="Consolas" w:cs="Consolas" w:eastAsia="Consolas" w:hAnsi="Consolas"/>
                <w:sz w:val="18"/>
                <w:szCs w:val="18"/>
              </w:rPr>
              <w:t xml:space="preserve">tab region_str</w:t>
            </w:r>
          </w:p>
        </w:tc>
      </w:tr>
    </w:tbl>
    <w:p>
      <w:pPr>
        <w:spacing w:after="160"/>
      </w:pPr>
      <w:r>
        <w:t xml:space="preserve">real() attempts to convert a string to a number and returns missing for anything it can't parse, so the first line isolates exactly the non-numeric age entries (illustrative output: a small table showing REFUSED with a frequency count). tab trust_gov shows -99 sitting in the frequency table as if it were a normal (if oddly small) value — a real Likert item shouldn't have any value below 1. tab region_str will list four to eight distinct-looking categories that are really just four regions typed inconsistently.</w:t>
      </w:r>
    </w:p>
    <w:p>
      <w:pPr>
        <w:pStyle w:val="Heading1"/>
        <w:spacing w:after="150" w:before="300"/>
      </w:pPr>
      <w:r>
        <w:t xml:space="preserve">Common pitfalls</w:t>
      </w:r>
    </w:p>
    <w:p>
      <w:pPr>
        <w:pStyle w:val="ListParagraph"/>
        <w:numPr>
          <w:ilvl w:val="0"/>
          <w:numId w:val="1"/>
        </w:numPr>
        <w:spacing w:after="80"/>
      </w:pPr>
      <w:r>
        <w:t xml:space="preserve">Skipping varnames(1): the header row gets read as data, and every variable ends up literally named v1, v2, v3, etc., which then has to be redone.</w:t>
      </w:r>
    </w:p>
    <w:p>
      <w:pPr>
        <w:pStyle w:val="ListParagraph"/>
        <w:numPr>
          <w:ilvl w:val="0"/>
          <w:numId w:val="1"/>
        </w:numPr>
        <w:spacing w:after="80"/>
      </w:pPr>
      <w:r>
        <w:t xml:space="preserve">Trusting a numeric-looking variable just because most of its values look like numbers: a single stray "REFUSED" or "N/A" anywhere in the column is enough to make Stata import the entire variable as a string, and summarize will then silently skip it with no warning.</w:t>
      </w:r>
    </w:p>
    <w:p>
      <w:pPr>
        <w:pStyle w:val="ListParagraph"/>
        <w:numPr>
          <w:ilvl w:val="0"/>
          <w:numId w:val="1"/>
        </w:numPr>
        <w:spacing w:after="80"/>
      </w:pPr>
      <w:r>
        <w:t xml:space="preserve">Treating a legacy missing-data code (like -99) as a valid value: until it's explicitly recoded, it will pull down means and distort any statistic computed on that variable.</w:t>
      </w:r>
    </w:p>
    <w:p>
      <w:pPr>
        <w:pStyle w:val="ListParagraph"/>
        <w:numPr>
          <w:ilvl w:val="0"/>
          <w:numId w:val="1"/>
        </w:numPr>
        <w:spacing w:after="80"/>
      </w:pPr>
      <w:r>
        <w:t xml:space="preserve">Relying on browse to "look through the data" as your only quality check: it does not scale, and it can't show you a 4% contamination rate the way a tabulation can.</w:t>
      </w:r>
    </w:p>
    <w:p>
      <w:pPr>
        <w:pStyle w:val="Heading1"/>
        <w:spacing w:after="150" w:before="300"/>
      </w:pPr>
      <w:r>
        <w:t xml:space="preserve">Try it yourself</w:t>
      </w:r>
    </w:p>
    <w:p>
      <w:pPr>
        <w:spacing w:after="160"/>
      </w:pPr>
      <w:r>
        <w:t xml:space="preserve">Using only commands introduced in this lesson: (1) run codebook policy_support and write a sentence describing what you see; (2) run summarize weight, detail and note the min/max weight, along with your best guess at why survey weights are sometimes far from 1.0; (3) use list to print respondent_id and region_str for observations 15 and 16 only, and note what you notice and which later lesson you think will need to address it.</w:t>
      </w:r>
    </w:p>
    <w:p>
      <w:pPr>
        <w:pStyle w:val="Heading1"/>
        <w:spacing w:after="150" w:before="300"/>
      </w:pPr>
      <w:r>
        <w:t xml:space="preserve">Sources &amp; further reading</w:t>
      </w:r>
    </w:p>
    <w:p>
      <w:pPr>
        <w:pStyle w:val="ListParagraph"/>
        <w:numPr>
          <w:ilvl w:val="0"/>
          <w:numId w:val="1"/>
        </w:numPr>
        <w:spacing w:after="80"/>
      </w:pPr>
      <w:r>
        <w:t xml:space="preserve">StataCorp, Stata 18 [D] Data Management Reference Manual — entries for import delimited, describe, codebook, and destring/real().</w:t>
      </w:r>
    </w:p>
    <w:p>
      <w:pPr>
        <w:pStyle w:val="ListParagraph"/>
        <w:numPr>
          <w:ilvl w:val="0"/>
          <w:numId w:val="1"/>
        </w:numPr>
        <w:spacing w:after="80"/>
      </w:pPr>
      <w:r>
        <w:t xml:space="preserve">StataCorp, Stata 18 [U] User's Guide — chapter on data types and missing values.</w:t>
      </w:r>
    </w:p>
    <w:p>
      <w:pPr>
        <w:pStyle w:val="ListParagraph"/>
        <w:numPr>
          <w:ilvl w:val="0"/>
          <w:numId w:val="1"/>
        </w:numPr>
        <w:spacing w:after="80"/>
      </w:pPr>
      <w:r>
        <w:t xml:space="preserve">UCLA Advanced Research Computing Statistical Consulting, Stata resources: stats.oarc.ucla.edu/stata/ — has worked examples of importing and inspecting messy data.</w:t>
      </w:r>
    </w:p>
    <w:p>
      <w:pPr>
        <w:pStyle w:val="ListParagraph"/>
        <w:numPr>
          <w:ilvl w:val="0"/>
          <w:numId w:val="1"/>
        </w:numPr>
        <w:spacing w:after="80"/>
      </w:pPr>
      <w:r>
        <w:t xml:space="preserve">Statalist (statalist.org) — search here for specific import error messages (e.g. delimiter or encoding failures) before posting a new question.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2026-07-30T15:26:57.570Z</dcterms:created>
  <dcterms:modified xsi:type="dcterms:W3CDTF">2026-07-30T15:26:57.570Z</dcterms:modified>
</cp:coreProperties>
</file>

<file path=docProps/custom.xml><?xml version="1.0" encoding="utf-8"?>
<Properties xmlns="http://schemas.openxmlformats.org/officeDocument/2006/custom-properties" xmlns:vt="http://schemas.openxmlformats.org/officeDocument/2006/docPropsVTypes"/>
</file>