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Lesson 03 Companion: The Help System &amp; Getting Unstuck</w:t>
      </w:r>
    </w:p>
    <w:p>
      <w:pPr>
        <w:spacing w:after="160"/>
      </w:pPr>
      <w:r>
        <w:t xml:space="preserve">Stata Curriculum for Survey Researchers — Lesson 03 of 14</w:t>
      </w:r>
    </w:p>
    <w:p>
      <w:pPr>
        <w:pStyle w:val="Heading1"/>
        <w:spacing w:after="150" w:before="300"/>
      </w:pPr>
      <w:r>
        <w:t xml:space="preserve">What this lesson is about</w:t>
      </w:r>
    </w:p>
    <w:p>
      <w:pPr>
        <w:spacing w:after="160"/>
      </w:pPr>
      <w:r>
        <w:t xml:space="preserve">This lesson is not about a Stata command that analyzes data — it is about the single most valuable habit you can build as a new Stata user: knowing how to find the answer yourself when you get stuck. Every experienced Stata user, no matter how many years they've used it, still runs help constantly. Learning to read a help file quickly is worth more than memorizing any one command's syntax.</w:t>
      </w:r>
    </w:p>
    <w:p>
      <w:pPr>
        <w:pStyle w:val="Heading1"/>
        <w:spacing w:after="150" w:before="300"/>
      </w:pPr>
      <w:r>
        <w:t xml:space="preserve">Why this matters for survey research</w:t>
      </w:r>
    </w:p>
    <w:p>
      <w:pPr>
        <w:spacing w:after="160"/>
      </w:pPr>
      <w:r>
        <w:t xml:space="preserve">Survey datasets are wide (dozens or hundreds of variables), and the analysis workflow for survey data draws on commands from several different corners of Stata: data management, tabulation, survey estimation (the [SVY] manual), regression, and sometimes user-written packages for specialized methods (dominance analysis, latent class analysis, and so on, which appear later in this course). No one has all of that memorized. Being fast and confident with help, search, findit, and error messages means you can keep moving instead of getting stuck on syntax for twenty minutes.</w:t>
      </w:r>
    </w:p>
    <w:p>
      <w:pPr>
        <w:pStyle w:val="Heading1"/>
        <w:spacing w:after="150" w:before="300"/>
      </w:pPr>
      <w:r>
        <w:t xml:space="preserve">Annotated walkthrough of the do-file</w:t>
      </w:r>
    </w:p>
    <w:p>
      <w:pPr>
        <w:pStyle w:val="Heading2"/>
        <w:spacing w:after="120" w:before="240"/>
      </w:pPr>
      <w:r>
        <w:t xml:space="preserve">1. Reading a help file's syntax diagram</w:t>
      </w:r>
    </w:p>
    <w:p>
      <w:pPr>
        <w:spacing w:after="160"/>
      </w:pPr>
      <w:r>
        <w:t xml:space="preserve">Running </w:t>
      </w:r>
      <w:r>
        <w:rPr>
          <w:rFonts w:ascii="Consolas" w:cs="Consolas" w:eastAsia="Consolas" w:hAnsi="Consolas"/>
        </w:rPr>
        <w:t xml:space="preserve">help tabulate</w:t>
      </w:r>
      <w:r>
        <w:t xml:space="preserve"> opens the Viewer to that command's help page. At the very top is a syntax diagram that looks something like this (illustrative, not the full real diagram):</w:t>
      </w:r>
    </w:p>
    <w:p>
      <w:pPr>
        <w:shd w:fill="F0F0F0" w:color="auto" w:val="clear"/>
        <w:spacing w:after="160"/>
      </w:pPr>
      <w:r>
        <w:rPr>
          <w:rFonts w:ascii="Consolas" w:cs="Consolas" w:eastAsia="Consolas" w:hAnsi="Consolas"/>
          <w:sz w:val="20"/>
          <w:szCs w:val="20"/>
        </w:rPr>
        <w:t xml:space="preserve">tabulate varname1 [varname2] [if] [in] [weight] [, options]</w:t>
      </w:r>
    </w:p>
    <w:p>
      <w:pPr>
        <w:spacing w:after="160"/>
      </w:pPr>
      <w:r>
        <w:t xml:space="preserve">How to read it:</w:t>
      </w:r>
    </w:p>
    <w:p>
      <w:pPr>
        <w:pStyle w:val="ListParagraph"/>
        <w:numPr>
          <w:ilvl w:val="0"/>
          <w:numId w:val="1"/>
        </w:numPr>
        <w:spacing w:after="80"/>
      </w:pPr>
      <w:r>
        <w:t xml:space="preserve">Square brackets [ ] mean that piece is optional. Here, varname2, if, in, and weight are all optional — only varname1 is required.</w:t>
      </w:r>
    </w:p>
    <w:p>
      <w:pPr>
        <w:pStyle w:val="ListParagraph"/>
        <w:numPr>
          <w:ilvl w:val="0"/>
          <w:numId w:val="1"/>
        </w:numPr>
        <w:spacing w:after="80"/>
      </w:pPr>
      <w:r>
        <w:t xml:space="preserve">An underlined portion of a command name is the shortest abbreviation Stata accepts. For example, Stata's own help shows tabulate as tab1 / tab2 in related commands, and summarize can be typed as su. Once you know a command's minimum abbreviation you'll see it used everywhere in other people's do-files.</w:t>
      </w:r>
    </w:p>
    <w:p>
      <w:pPr>
        <w:pStyle w:val="ListParagraph"/>
        <w:numPr>
          <w:ilvl w:val="0"/>
          <w:numId w:val="1"/>
        </w:numPr>
        <w:spacing w:after="80"/>
      </w:pPr>
      <w:r>
        <w:t xml:space="preserve">[if] and [in] are qualifiers: [if] restricts the command to observations meeting a logical condition (e.g., if region==1); [in] restricts it to an observation range (e.g., in 1/10).</w:t>
      </w:r>
    </w:p>
    <w:p>
      <w:pPr>
        <w:pStyle w:val="ListParagraph"/>
        <w:numPr>
          <w:ilvl w:val="0"/>
          <w:numId w:val="1"/>
        </w:numPr>
        <w:spacing w:after="80"/>
      </w:pPr>
      <w:r>
        <w:t xml:space="preserve">[weight] appearing in the diagram means the command accepts at least one Stata weight type. The specific types allowed (pweight, fweight, iweight, aweight) are listed further down the help file under a "Weights" heading — not every command allows every weight type.</w:t>
      </w:r>
    </w:p>
    <w:p>
      <w:pPr>
        <w:pStyle w:val="Heading2"/>
        <w:spacing w:after="120" w:before="240"/>
      </w:pPr>
      <w:r>
        <w:t xml:space="preserve">2. Browsing when you don't know the command name</w:t>
      </w:r>
    </w:p>
    <w:p>
      <w:pPr>
        <w:spacing w:after="160"/>
      </w:pPr>
      <w:r>
        <w:rPr>
          <w:rFonts w:ascii="Consolas" w:cs="Consolas" w:eastAsia="Consolas" w:hAnsi="Consolas"/>
        </w:rPr>
        <w:t xml:space="preserve">help contents</w:t>
      </w:r>
      <w:r>
        <w:t xml:space="preserve"> opens Stata's full table of contents, organized by manual: [R] Base Reference, [D] Data Management, [SVY] Survey Data, and more. The Viewer window also has a search box in its toolbar for keyword searches across installed help files.</w:t>
      </w:r>
    </w:p>
    <w:p>
      <w:pPr>
        <w:pStyle w:val="Heading2"/>
        <w:spacing w:after="120" w:before="240"/>
      </w:pPr>
      <w:r>
        <w:t xml:space="preserve">3. search vs. findit</w:t>
      </w:r>
    </w:p>
    <w:p>
      <w:pPr>
        <w:spacing w:after="160"/>
      </w:pPr>
      <w:r>
        <w:rPr>
          <w:rFonts w:ascii="Consolas" w:cs="Consolas" w:eastAsia="Consolas" w:hAnsi="Consolas"/>
        </w:rPr>
        <w:t xml:space="preserve">search</w:t>
      </w:r>
      <w:r>
        <w:t xml:space="preserve"> looks only through Stata's own official documentation, FAQs, and Stata Journal articles — content StataCorp ships or curates. It works even offline once help files are installed.</w:t>
      </w:r>
    </w:p>
    <w:p>
      <w:pPr>
        <w:spacing w:after="160"/>
      </w:pPr>
      <w:r>
        <w:rPr>
          <w:rFonts w:ascii="Consolas" w:cs="Consolas" w:eastAsia="Consolas" w:hAnsi="Consolas"/>
        </w:rPr>
        <w:t xml:space="preserve">findit</w:t>
      </w:r>
      <w:r>
        <w:t xml:space="preserve"> does everything search does, and additionally searches the internet for user-written packages (hosted on SSC or personal websites). Use findit when you suspect "someone out there has probably written a Stata command for this already" — for example, before Lesson 11's dominance analysis or Lesson 12's latent class analysis, findit is exactly how you'd discover the relevant community package.</w:t>
      </w:r>
    </w:p>
    <w:p>
      <w:pPr>
        <w:pStyle w:val="Heading2"/>
        <w:spacing w:after="120" w:before="240"/>
      </w:pPr>
      <w:r>
        <w:t xml:space="preserve">4. which: built-in or installed?</w:t>
      </w:r>
    </w:p>
    <w:p>
      <w:pPr>
        <w:spacing w:after="160"/>
      </w:pPr>
      <w:r>
        <w:rPr>
          <w:rFonts w:ascii="Consolas" w:cs="Consolas" w:eastAsia="Consolas" w:hAnsi="Consolas"/>
        </w:rPr>
        <w:t xml:space="preserve">which summarize</w:t>
      </w:r>
      <w:r>
        <w:t xml:space="preserve"> reports something like </w:t>
      </w:r>
    </w:p>
    <w:p>
      <w:pPr>
        <w:shd w:fill="F0F0F0" w:color="auto" w:val="clear"/>
        <w:spacing w:after="160"/>
      </w:pPr>
      <w:r>
        <w:rPr>
          <w:rFonts w:ascii="Consolas" w:cs="Consolas" w:eastAsia="Consolas" w:hAnsi="Consolas"/>
          <w:sz w:val="20"/>
          <w:szCs w:val="20"/>
        </w:rPr>
        <w:t xml:space="preserve">summarize.ado
*! version 1.x.x  (built-in command: summarize)</w:t>
      </w:r>
    </w:p>
    <w:p>
      <w:pPr>
        <w:spacing w:after="160"/>
      </w:pPr>
      <w:r>
        <w:t xml:space="preserve">meaning it ships with Stata itself. Running which on a user-written command instead reports a file path on your own computer, such as a location under your "PLUS" or "PERSONAL" ado-path — telling you at a glance that the command came from an installed package, not from StataCorp, and where its code physically lives if you ever want to inspect it.</w:t>
      </w:r>
    </w:p>
    <w:p>
      <w:pPr>
        <w:pStyle w:val="Heading2"/>
        <w:spacing w:after="120" w:before="240"/>
      </w:pPr>
      <w:r>
        <w:t xml:space="preserve">5. Installing community packages</w:t>
      </w:r>
    </w:p>
    <w:p>
      <w:pPr>
        <w:spacing w:after="160"/>
      </w:pPr>
      <w:r>
        <w:rPr>
          <w:rFonts w:ascii="Consolas" w:cs="Consolas" w:eastAsia="Consolas" w:hAnsi="Consolas"/>
        </w:rPr>
        <w:t xml:space="preserve">ssc install packagename</w:t>
      </w:r>
      <w:r>
        <w:t xml:space="preserve"> installs a package hosted on the Statistical Software Components (SSC) archive — the most common source for user-written Stata commands. </w:t>
      </w:r>
      <w:r>
        <w:rPr>
          <w:rFonts w:ascii="Consolas" w:cs="Consolas" w:eastAsia="Consolas" w:hAnsi="Consolas"/>
        </w:rPr>
        <w:t xml:space="preserve">ssc describe packagename</w:t>
      </w:r>
      <w:r>
        <w:t xml:space="preserve"> lets you preview what a package does before installing it. For packages not on SSC, </w:t>
      </w:r>
      <w:r>
        <w:rPr>
          <w:rFonts w:ascii="Consolas" w:cs="Consolas" w:eastAsia="Consolas" w:hAnsi="Consolas"/>
        </w:rPr>
        <w:t xml:space="preserve">net install packagename, from(url)</w:t>
      </w:r>
      <w:r>
        <w:t xml:space="preserve"> installs directly from a specified web location.</w:t>
      </w:r>
    </w:p>
    <w:p>
      <w:pPr>
        <w:pStyle w:val="Heading2"/>
        <w:spacing w:after="120" w:before="240"/>
      </w:pPr>
      <w:r>
        <w:t xml:space="preserve">6. Reading error messages and return codes</w:t>
      </w:r>
    </w:p>
    <w:p>
      <w:pPr>
        <w:spacing w:after="160"/>
      </w:pPr>
      <w:r>
        <w:t xml:space="preserve">When a command fails, Stata prints a short message plus a return code in parentheses on the right, like r(198) or r(111). That code is itself searchable — running search rc 198 (or search r(198)) pulls up StataCorp's official explanation of exactly what that code means.</w:t>
      </w:r>
    </w:p>
    <w:p>
      <w:pPr>
        <w:spacing w:after="160"/>
      </w:pPr>
      <w:r>
        <w:t xml:space="preserve">Two you will see constantly as a beginner:</w:t>
      </w:r>
    </w:p>
    <w:p>
      <w:pPr>
        <w:pStyle w:val="ListParagraph"/>
        <w:numPr>
          <w:ilvl w:val="0"/>
          <w:numId w:val="1"/>
        </w:numPr>
        <w:spacing w:after="80"/>
      </w:pPr>
      <w:r>
        <w:t xml:space="preserve">"variable not found" → r(111): you mistyped a variable name, or it doesn't exist in the dataset currently loaded in memory.</w:t>
      </w:r>
    </w:p>
    <w:p>
      <w:pPr>
        <w:pStyle w:val="ListParagraph"/>
        <w:numPr>
          <w:ilvl w:val="0"/>
          <w:numId w:val="1"/>
        </w:numPr>
        <w:spacing w:after="80"/>
      </w:pPr>
      <w:r>
        <w:t xml:space="preserve">"type mismatch" → r(109): you tried a numeric operation on a string variable, or vice versa (e.g., summarize on a variable stored as text).</w:t>
      </w:r>
    </w:p>
    <w:p>
      <w:pPr>
        <w:spacing w:after="160"/>
      </w:pPr>
      <w:r>
        <w:t xml:space="preserve">The do-file deliberately runs a misspelled variable name to show you exactly what this looks like in the Results window, and how the r(111) code appears alongside the error text.</w:t>
      </w:r>
    </w:p>
    <w:p>
      <w:pPr>
        <w:pStyle w:val="Heading2"/>
        <w:spacing w:after="120" w:before="240"/>
      </w:pPr>
      <w:r>
        <w:t xml:space="preserve">7. Where the official manuals and community help live</w:t>
      </w:r>
    </w:p>
    <w:p>
      <w:pPr>
        <w:pStyle w:val="ListParagraph"/>
        <w:numPr>
          <w:ilvl w:val="0"/>
          <w:numId w:val="1"/>
        </w:numPr>
        <w:spacing w:after="80"/>
      </w:pPr>
      <w:r>
        <w:t xml:space="preserve">Full PDF manuals: Stata's menu bar → Help → PDF Documentation. Same content referenced throughout help files (look for [R], [D], [SVY] tags) but with much longer worked examples.</w:t>
      </w:r>
    </w:p>
    <w:p>
      <w:pPr>
        <w:pStyle w:val="ListParagraph"/>
        <w:numPr>
          <w:ilvl w:val="0"/>
          <w:numId w:val="1"/>
        </w:numPr>
        <w:spacing w:after="80"/>
      </w:pPr>
      <w:r/>
    </w:p>
    <w:p>
      <w:pPr>
        <w:pStyle w:val="ListParagraph"/>
        <w:numPr>
          <w:ilvl w:val="0"/>
          <w:numId w:val="1"/>
        </w:numPr>
        <w:spacing w:after="80"/>
      </w:pPr>
      <w:r/>
    </w:p>
    <w:p>
      <w:pPr>
        <w:pStyle w:val="Heading1"/>
        <w:spacing w:after="150" w:before="300"/>
      </w:pPr>
      <w:r>
        <w:t xml:space="preserve">Common pitfalls</w:t>
      </w:r>
    </w:p>
    <w:p>
      <w:pPr>
        <w:pStyle w:val="ListParagraph"/>
        <w:numPr>
          <w:ilvl w:val="0"/>
          <w:numId w:val="1"/>
        </w:numPr>
        <w:spacing w:after="80"/>
      </w:pPr>
      <w:r>
        <w:t xml:space="preserve">Treating findit and search as interchangeable. search only covers official/curated content; findit also reaches the internet. If findit turns up nothing relevant, that does not mean search would too, and vice versa — try both.</w:t>
      </w:r>
    </w:p>
    <w:p>
      <w:pPr>
        <w:pStyle w:val="ListParagraph"/>
        <w:numPr>
          <w:ilvl w:val="0"/>
          <w:numId w:val="1"/>
        </w:numPr>
        <w:spacing w:after="80"/>
      </w:pPr>
      <w:r>
        <w:t xml:space="preserve">Ignoring the return code in an error message. Beginners often only read the plain-English message and give up when it's unclear. The r(###) code is a precise, searchable identifier — search rc &lt;number&gt; usually resolves confusion in seconds.</w:t>
      </w:r>
    </w:p>
    <w:p>
      <w:pPr>
        <w:pStyle w:val="ListParagraph"/>
        <w:numPr>
          <w:ilvl w:val="0"/>
          <w:numId w:val="1"/>
        </w:numPr>
        <w:spacing w:after="80"/>
      </w:pPr>
      <w:r>
        <w:t xml:space="preserve">Assuming a command exists because you saw it in someone else's do-file, without checking which. If a colleague's do-file uses a command that turns out to be a user-written package (visible via which), your dataset/session won't have it until you ssc install it — this is a very common source of "command not found" errors when sharing do-files.</w:t>
      </w:r>
    </w:p>
    <w:p>
      <w:pPr>
        <w:pStyle w:val="ListParagraph"/>
        <w:numPr>
          <w:ilvl w:val="0"/>
          <w:numId w:val="1"/>
        </w:numPr>
        <w:spacing w:after="80"/>
      </w:pPr>
      <w:r>
        <w:t xml:space="preserve">Forgetting that PDF Documentation and help files describe the SAME material at different depths. If a help file feels too terse, the PDF manual chapter for that same command almost always has a fuller worked example.</w:t>
      </w:r>
    </w:p>
    <w:p>
      <w:pPr>
        <w:pStyle w:val="Heading1"/>
        <w:spacing w:after="150" w:before="300"/>
      </w:pPr>
      <w:r>
        <w:t xml:space="preserve">Try it yourself</w:t>
      </w:r>
    </w:p>
    <w:p>
      <w:pPr>
        <w:spacing w:after="160"/>
      </w:pPr>
      <w:r>
        <w:t xml:space="preserve">Matching the do-file's "Your Turn" exercise:</w:t>
      </w:r>
    </w:p>
    <w:p>
      <w:pPr>
        <w:pStyle w:val="ListParagraph"/>
        <w:numPr>
          <w:ilvl w:val="0"/>
          <w:numId w:val="1"/>
        </w:numPr>
        <w:spacing w:after="80"/>
      </w:pPr>
      <w:r>
        <w:t xml:space="preserve">Run help tabulate.</w:t>
      </w:r>
    </w:p>
    <w:p>
      <w:pPr>
        <w:pStyle w:val="ListParagraph"/>
        <w:numPr>
          <w:ilvl w:val="0"/>
          <w:numId w:val="1"/>
        </w:numPr>
        <w:spacing w:after="80"/>
      </w:pPr>
      <w:r>
        <w:t xml:space="preserve">Scroll to the options section of the one-way tabulate syntax block.</w:t>
      </w:r>
    </w:p>
    <w:p>
      <w:pPr>
        <w:pStyle w:val="ListParagraph"/>
        <w:numPr>
          <w:ilvl w:val="0"/>
          <w:numId w:val="1"/>
        </w:numPr>
        <w:spacing w:after="80"/>
      </w:pPr>
      <w:r>
        <w:t xml:space="preserve">Identify the option name that would produce ROW PERCENTAGES in a two-way tabulation.</w:t>
      </w:r>
    </w:p>
    <w:p>
      <w:pPr>
        <w:pStyle w:val="ListParagraph"/>
        <w:numPr>
          <w:ilvl w:val="0"/>
          <w:numId w:val="1"/>
        </w:numPr>
        <w:spacing w:after="80"/>
      </w:pPr>
      <w:r>
        <w:t xml:space="preserve">Do not run it yet — we'll use it properly in Lesson 06 (Row/Column Percentages). For now, just write the option's name down.</w:t>
      </w:r>
    </w:p>
    <w:p>
      <w:pPr>
        <w:pStyle w:val="Heading1"/>
        <w:spacing w:after="150" w:before="300"/>
      </w:pPr>
      <w:r>
        <w:t xml:space="preserve">Sources &amp; further reading</w:t>
      </w:r>
    </w:p>
    <w:p>
      <w:pPr>
        <w:pStyle w:val="ListParagraph"/>
        <w:numPr>
          <w:ilvl w:val="0"/>
          <w:numId w:val="1"/>
        </w:numPr>
        <w:spacing w:after="80"/>
      </w:pPr>
      <w:r/>
    </w:p>
    <w:p>
      <w:pPr>
        <w:pStyle w:val="ListParagraph"/>
        <w:numPr>
          <w:ilvl w:val="0"/>
          <w:numId w:val="1"/>
        </w:numPr>
        <w:spacing w:after="80"/>
      </w:pPr>
      <w:r/>
    </w:p>
    <w:p>
      <w:pPr>
        <w:pStyle w:val="ListParagraph"/>
        <w:numPr>
          <w:ilvl w:val="0"/>
          <w:numId w:val="1"/>
        </w:numPr>
        <w:spacing w:after="80"/>
      </w:pPr>
      <w:r/>
    </w:p>
    <w:p>
      <w:pPr>
        <w:pStyle w:val="ListParagraph"/>
        <w:numPr>
          <w:ilvl w:val="0"/>
          <w:numId w:val="1"/>
        </w:numPr>
        <w:spacing w:after="80"/>
      </w:pP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2026-07-30T16:06:01.937Z</dcterms:created>
  <dcterms:modified xsi:type="dcterms:W3CDTF">2026-07-30T16:06:01.939Z</dcterms:modified>
</cp:coreProperties>
</file>

<file path=docProps/custom.xml><?xml version="1.0" encoding="utf-8"?>
<Properties xmlns="http://schemas.openxmlformats.org/officeDocument/2006/custom-properties" xmlns:vt="http://schemas.openxmlformats.org/officeDocument/2006/docPropsVTypes"/>
</file>