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44"/>
          <w:szCs w:val="44"/>
        </w:rPr>
        <w:t xml:space="preserve">Lesson 06 Companion</w:t>
      </w:r>
    </w:p>
    <w:p>
      <w:pPr>
        <w:spacing w:after="40"/>
      </w:pPr>
      <w:r>
        <w:rPr>
          <w:color w:val="444444"/>
          <w:sz w:val="30"/>
          <w:szCs w:val="30"/>
        </w:rPr>
        <w:t xml:space="preserve">Row vs. Column Percentages</w:t>
      </w:r>
    </w:p>
    <w:p>
      <w:pPr>
        <w:spacing w:after="300"/>
      </w:pPr>
      <w:r>
        <w:rPr>
          <w:i/>
          <w:iCs/>
          <w:color w:val="666666"/>
          <w:sz w:val="22"/>
          <w:szCs w:val="22"/>
        </w:rPr>
        <w:t xml:space="preserve">Lesson 6 of 14 — Stata Curriculum for Survey Researchers</w:t>
      </w:r>
    </w:p>
    <w:p>
      <w:pPr>
        <w:pStyle w:val="Heading1"/>
        <w:spacing w:after="150" w:before="300"/>
      </w:pPr>
      <w:r>
        <w:t xml:space="preserve">The concept, in plain language</w:t>
      </w:r>
    </w:p>
    <w:p>
      <w:pPr>
        <w:spacing w:after="120"/>
      </w:pPr>
      <w:r>
        <w:t xml:space="preserve">A two-way tabulate command in Stata (tabulate var1 var2) cross-classifies every respondent by two variables at once and reports how many people fall into each combination. That raw count table is useful, but counts alone rarely answer the question a survey researcher actually has in mind. To turn counts into percentages that answer a specific question, Stata has to divide by something — and there are three different “somethings” it can divide by:</w:t>
      </w:r>
    </w:p>
    <w:p>
      <w:pPr>
        <w:pStyle w:val="ListParagraph"/>
        <w:numPr>
          <w:ilvl w:val="0"/>
          <w:numId w:val="2"/>
        </w:numPr>
        <w:spacing w:after="60"/>
      </w:pPr>
      <w:r>
        <w:t xml:space="preserve">row percent — divides each cell by its ROW total, so every row of the table sums to 100%</w:t>
      </w:r>
    </w:p>
    <w:p>
      <w:pPr>
        <w:pStyle w:val="ListParagraph"/>
        <w:numPr>
          <w:ilvl w:val="0"/>
          <w:numId w:val="2"/>
        </w:numPr>
        <w:spacing w:after="60"/>
      </w:pPr>
      <w:r>
        <w:t xml:space="preserve">column percent — divides each cell by its COLUMN total, so every column of the table sums to 100%</w:t>
      </w:r>
    </w:p>
    <w:p>
      <w:pPr>
        <w:pStyle w:val="ListParagraph"/>
        <w:numPr>
          <w:ilvl w:val="0"/>
          <w:numId w:val="2"/>
        </w:numPr>
        <w:spacing w:after="60"/>
      </w:pPr>
      <w:r>
        <w:t xml:space="preserve">cell percent — divides each cell by the GRAND total (everyone in the table), so the whole table sums to 100%</w:t>
      </w:r>
    </w:p>
    <w:p>
      <w:pPr>
        <w:spacing w:after="120"/>
      </w:pPr>
      <w:r>
        <w:t xml:space="preserve">These are requested with the row, column, and cell options on tabulate, and all three can be requested together in one command for direct comparison. The crucial point — the one this lesson exists to teach — is that the exact same physical cell in the exact same table produces three different numbers depending on which option you ask for, and each of those three numbers answers a different research question. Reading the wrong one, or mislabeling which one you have, produces a claim your data do not actually support.</w:t>
      </w:r>
    </w:p>
    <w:p>
      <w:pPr>
        <w:pStyle w:val="Heading1"/>
        <w:spacing w:after="150" w:before="300"/>
      </w:pPr>
      <w:r>
        <w:t xml:space="preserve">Why this matters for survey research</w:t>
      </w:r>
    </w:p>
    <w:p>
      <w:pPr>
        <w:spacing w:after="120"/>
      </w:pPr>
      <w:r>
        <w:t xml:space="preserve">Survey researchers routinely cross-tabulate a demographic or attitudinal variable against an outcome — education against policy support, region against vaccination status, income bracket against vote choice. The write-up almost always takes the form “Among X, Y percent do Z,” and that sentence has a specific denominator baked into it: it is either a row-percent claim or a column-percent claim, never both, and never neither. Choosing the wrong option in Stata, or correctly running the right option but then describing it with the wrong sentence, is one of the most common errors in applied survey write-ups — and it is a silent error: Stata will not warn you that your prose doesn't match your denominator. This lesson is about building the habit of checking, every single time, that the sentence you write matches the percentage option you requested.</w:t>
      </w:r>
    </w:p>
    <w:p>
      <w:pPr>
        <w:pStyle w:val="Heading1"/>
        <w:spacing w:after="150" w:before="300"/>
      </w:pPr>
      <w:r>
        <w:t xml:space="preserve">Annotated walkthrough (illustrative output)</w:t>
      </w:r>
    </w:p>
    <w:p>
      <w:pPr>
        <w:spacing w:after="120"/>
      </w:pPr>
      <w:r>
        <w:t xml:space="preserve">Suppose we tabulate educ_raw (education, 5 categories) against policy_support (4 categories) in survey_clean.dta. The output below is illustrative — built to demonstrate the mechanics, not a real result from the dataset.</w:t>
      </w:r>
    </w:p>
    <w:p>
      <w:pPr>
        <w:pStyle w:val="Heading2"/>
        <w:spacing w:after="120" w:before="250"/>
      </w:pPr>
      <w:r>
        <w:t xml:space="preserve">Step 1 — raw counts</w:t>
      </w:r>
    </w:p>
    <w:p>
      <w:pPr>
        <w:shd w:fill="F2F2F2" w:val="clear"/>
        <w:spacing w:after="200" w:before="100"/>
        <w:ind w:left="200" w:right="200"/>
      </w:pPr>
      <w:r>
        <w:rPr>
          <w:rFonts w:ascii="Consolas" w:cs="Consolas" w:eastAsia="Consolas" w:hAnsi="Consolas"/>
          <w:sz w:val="20"/>
          <w:szCs w:val="20"/>
        </w:rPr>
        <w:t xml:space="preserve">tabulate educ_raw policy_support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750"/>
        <w:gridCol w:w="1750"/>
        <w:gridCol w:w="1750"/>
        <w:gridCol w:w="900"/>
      </w:tblGrid>
      <w:tr>
        <w:trPr>
          <w:tblHeader/>
        </w:trPr>
        <w:tc>
          <w:tcPr>
            <w:tcW w:type="dxa" w:w="2400"/>
            <w:shd w:fill="2F5496" w:val="clear"/>
          </w:tcPr>
          <w:p>
            <w:r>
              <w:rPr>
                <w:b/>
                <w:bCs/>
                <w:color w:val="FFFFFF"/>
              </w:rPr>
              <w:t xml:space="preserve">educ_raw</w:t>
            </w:r>
          </w:p>
        </w:tc>
        <w:tc>
          <w:tcPr>
            <w:tcW w:type="dxa" w:w="1750"/>
            <w:shd w:fill="2F5496" w:val="clear"/>
          </w:tcPr>
          <w:p>
            <w:r>
              <w:rPr>
                <w:b/>
                <w:bCs/>
                <w:color w:val="FFFFFF"/>
              </w:rPr>
              <w:t xml:space="preserve">Strongly oppose</w:t>
            </w:r>
          </w:p>
        </w:tc>
        <w:tc>
          <w:tcPr>
            <w:tcW w:type="dxa" w:w="1750"/>
            <w:shd w:fill="2F5496" w:val="clear"/>
          </w:tcPr>
          <w:p>
            <w:r>
              <w:rPr>
                <w:b/>
                <w:bCs/>
                <w:color w:val="FFFFFF"/>
              </w:rPr>
              <w:t xml:space="preserve">Somewhat oppose</w:t>
            </w:r>
          </w:p>
        </w:tc>
        <w:tc>
          <w:tcPr>
            <w:tcW w:type="dxa" w:w="1750"/>
            <w:shd w:fill="2F5496" w:val="clear"/>
          </w:tcPr>
          <w:p>
            <w:r>
              <w:rPr>
                <w:b/>
                <w:bCs/>
                <w:color w:val="FFFFFF"/>
              </w:rPr>
              <w:t xml:space="preserve">Somewhat support</w:t>
            </w:r>
          </w:p>
        </w:tc>
        <w:tc>
          <w:tcPr>
            <w:tcW w:type="dxa" w:w="1750"/>
            <w:shd w:fill="2F5496" w:val="clear"/>
          </w:tcPr>
          <w:p>
            <w:r>
              <w:rPr>
                <w:b/>
                <w:bCs/>
                <w:color w:val="FFFFFF"/>
              </w:rPr>
              <w:t xml:space="preserve">Strongly support</w:t>
            </w:r>
          </w:p>
        </w:tc>
        <w:tc>
          <w:tcPr>
            <w:tcW w:type="dxa" w:w="900"/>
            <w:shd w:fill="2F5496" w:val="clear"/>
          </w:tcPr>
          <w:p>
            <w:r>
              <w:rPr>
                <w:b/>
                <w:bCs/>
                <w:color w:val="FFFFFF"/>
              </w:rPr>
              <w:t xml:space="preserve">Total</w:t>
            </w:r>
          </w:p>
        </w:tc>
      </w:tr>
      <w:tr>
        <w:tc>
          <w:tcPr>
            <w:tcW w:type="dxa" w:w="2400"/>
            <w:shd w:fill="FFFFFF" w:val="clear"/>
          </w:tcPr>
          <w:p>
            <w:r>
              <w:t xml:space="preserve">Less than HS</w:t>
            </w:r>
          </w:p>
        </w:tc>
        <w:tc>
          <w:tcPr>
            <w:tcW w:type="dxa" w:w="1750"/>
            <w:shd w:fill="FFFFFF" w:val="clear"/>
          </w:tcPr>
          <w:p>
            <w:r>
              <w:t xml:space="preserve">40</w:t>
            </w:r>
          </w:p>
        </w:tc>
        <w:tc>
          <w:tcPr>
            <w:tcW w:type="dxa" w:w="1750"/>
            <w:shd w:fill="FFFFFF" w:val="clear"/>
          </w:tcPr>
          <w:p>
            <w:r>
              <w:t xml:space="preserve">35</w:t>
            </w:r>
          </w:p>
        </w:tc>
        <w:tc>
          <w:tcPr>
            <w:tcW w:type="dxa" w:w="1750"/>
            <w:shd w:fill="FFFFFF" w:val="clear"/>
          </w:tcPr>
          <w:p>
            <w:r>
              <w:t xml:space="preserve">30</w:t>
            </w:r>
          </w:p>
        </w:tc>
        <w:tc>
          <w:tcPr>
            <w:tcW w:type="dxa" w:w="1750"/>
            <w:shd w:fill="FFFFFF" w:val="clear"/>
          </w:tcPr>
          <w:p>
            <w:r>
              <w:t xml:space="preserve">15</w:t>
            </w:r>
          </w:p>
        </w:tc>
        <w:tc>
          <w:tcPr>
            <w:tcW w:type="dxa" w:w="900"/>
            <w:shd w:fill="FFFFFF" w:val="clear"/>
          </w:tcPr>
          <w:p>
            <w:r>
              <w:t xml:space="preserve">120</w:t>
            </w:r>
          </w:p>
        </w:tc>
      </w:tr>
      <w:tr>
        <w:tc>
          <w:tcPr>
            <w:tcW w:type="dxa" w:w="2400"/>
            <w:shd w:fill="F2F2F2" w:val="clear"/>
          </w:tcPr>
          <w:p>
            <w:r>
              <w:t xml:space="preserve">HS graduate</w:t>
            </w:r>
          </w:p>
        </w:tc>
        <w:tc>
          <w:tcPr>
            <w:tcW w:type="dxa" w:w="1750"/>
            <w:shd w:fill="F2F2F2" w:val="clear"/>
          </w:tcPr>
          <w:p>
            <w:r>
              <w:t xml:space="preserve">70</w:t>
            </w:r>
          </w:p>
        </w:tc>
        <w:tc>
          <w:tcPr>
            <w:tcW w:type="dxa" w:w="1750"/>
            <w:shd w:fill="F2F2F2" w:val="clear"/>
          </w:tcPr>
          <w:p>
            <w:r>
              <w:t xml:space="preserve">80</w:t>
            </w:r>
          </w:p>
        </w:tc>
        <w:tc>
          <w:tcPr>
            <w:tcW w:type="dxa" w:w="1750"/>
            <w:shd w:fill="F2F2F2" w:val="clear"/>
          </w:tcPr>
          <w:p>
            <w:r>
              <w:t xml:space="preserve">90</w:t>
            </w:r>
          </w:p>
        </w:tc>
        <w:tc>
          <w:tcPr>
            <w:tcW w:type="dxa" w:w="1750"/>
            <w:shd w:fill="F2F2F2" w:val="clear"/>
          </w:tcPr>
          <w:p>
            <w:r>
              <w:t xml:space="preserve">40</w:t>
            </w:r>
          </w:p>
        </w:tc>
        <w:tc>
          <w:tcPr>
            <w:tcW w:type="dxa" w:w="900"/>
            <w:shd w:fill="F2F2F2" w:val="clear"/>
          </w:tcPr>
          <w:p>
            <w:r>
              <w:t xml:space="preserve">280</w:t>
            </w:r>
          </w:p>
        </w:tc>
      </w:tr>
      <w:tr>
        <w:tc>
          <w:tcPr>
            <w:tcW w:type="dxa" w:w="2400"/>
            <w:shd w:fill="FFFFFF" w:val="clear"/>
          </w:tcPr>
          <w:p>
            <w:r>
              <w:t xml:space="preserve">Some college</w:t>
            </w:r>
          </w:p>
        </w:tc>
        <w:tc>
          <w:tcPr>
            <w:tcW w:type="dxa" w:w="1750"/>
            <w:shd w:fill="FFFFFF" w:val="clear"/>
          </w:tcPr>
          <w:p>
            <w:r>
              <w:t xml:space="preserve">60</w:t>
            </w:r>
          </w:p>
        </w:tc>
        <w:tc>
          <w:tcPr>
            <w:tcW w:type="dxa" w:w="1750"/>
            <w:shd w:fill="FFFFFF" w:val="clear"/>
          </w:tcPr>
          <w:p>
            <w:r>
              <w:t xml:space="preserve">70</w:t>
            </w:r>
          </w:p>
        </w:tc>
        <w:tc>
          <w:tcPr>
            <w:tcW w:type="dxa" w:w="1750"/>
            <w:shd w:fill="FFFFFF" w:val="clear"/>
          </w:tcPr>
          <w:p>
            <w:r>
              <w:t xml:space="preserve">100</w:t>
            </w:r>
          </w:p>
        </w:tc>
        <w:tc>
          <w:tcPr>
            <w:tcW w:type="dxa" w:w="1750"/>
            <w:shd w:fill="FFFFFF" w:val="clear"/>
          </w:tcPr>
          <w:p>
            <w:r>
              <w:t xml:space="preserve">70</w:t>
            </w:r>
          </w:p>
        </w:tc>
        <w:tc>
          <w:tcPr>
            <w:tcW w:type="dxa" w:w="900"/>
            <w:shd w:fill="FFFFFF" w:val="clear"/>
          </w:tcPr>
          <w:p>
            <w:r>
              <w:t xml:space="preserve">300</w:t>
            </w:r>
          </w:p>
        </w:tc>
      </w:tr>
      <w:tr>
        <w:tc>
          <w:tcPr>
            <w:tcW w:type="dxa" w:w="2400"/>
            <w:shd w:fill="F2F2F2" w:val="clear"/>
          </w:tcPr>
          <w:p>
            <w:r>
              <w:t xml:space="preserve">Bachelor's degree</w:t>
            </w:r>
          </w:p>
        </w:tc>
        <w:tc>
          <w:tcPr>
            <w:tcW w:type="dxa" w:w="1750"/>
            <w:shd w:fill="F2F2F2" w:val="clear"/>
          </w:tcPr>
          <w:p>
            <w:r>
              <w:t xml:space="preserve">30</w:t>
            </w:r>
          </w:p>
        </w:tc>
        <w:tc>
          <w:tcPr>
            <w:tcW w:type="dxa" w:w="1750"/>
            <w:shd w:fill="F2F2F2" w:val="clear"/>
          </w:tcPr>
          <w:p>
            <w:r>
              <w:t xml:space="preserve">50</w:t>
            </w:r>
          </w:p>
        </w:tc>
        <w:tc>
          <w:tcPr>
            <w:tcW w:type="dxa" w:w="1750"/>
            <w:shd w:fill="F2F2F2" w:val="clear"/>
          </w:tcPr>
          <w:p>
            <w:r>
              <w:t xml:space="preserve">110</w:t>
            </w:r>
          </w:p>
        </w:tc>
        <w:tc>
          <w:tcPr>
            <w:tcW w:type="dxa" w:w="1750"/>
            <w:shd w:fill="F2F2F2" w:val="clear"/>
          </w:tcPr>
          <w:p>
            <w:r>
              <w:t xml:space="preserve">160</w:t>
            </w:r>
          </w:p>
        </w:tc>
        <w:tc>
          <w:tcPr>
            <w:tcW w:type="dxa" w:w="900"/>
            <w:shd w:fill="F2F2F2" w:val="clear"/>
          </w:tcPr>
          <w:p>
            <w:r>
              <w:t xml:space="preserve">350</w:t>
            </w:r>
          </w:p>
        </w:tc>
      </w:tr>
      <w:tr>
        <w:tc>
          <w:tcPr>
            <w:tcW w:type="dxa" w:w="2400"/>
            <w:shd w:fill="FFFFFF" w:val="clear"/>
          </w:tcPr>
          <w:p>
            <w:r>
              <w:t xml:space="preserve">Graduate degree</w:t>
            </w:r>
          </w:p>
        </w:tc>
        <w:tc>
          <w:tcPr>
            <w:tcW w:type="dxa" w:w="1750"/>
            <w:shd w:fill="FFFFFF" w:val="clear"/>
          </w:tcPr>
          <w:p>
            <w:r>
              <w:t xml:space="preserve">10</w:t>
            </w:r>
          </w:p>
        </w:tc>
        <w:tc>
          <w:tcPr>
            <w:tcW w:type="dxa" w:w="1750"/>
            <w:shd w:fill="FFFFFF" w:val="clear"/>
          </w:tcPr>
          <w:p>
            <w:r>
              <w:t xml:space="preserve">20</w:t>
            </w:r>
          </w:p>
        </w:tc>
        <w:tc>
          <w:tcPr>
            <w:tcW w:type="dxa" w:w="1750"/>
            <w:shd w:fill="FFFFFF" w:val="clear"/>
          </w:tcPr>
          <w:p>
            <w:r>
              <w:t xml:space="preserve">50</w:t>
            </w:r>
          </w:p>
        </w:tc>
        <w:tc>
          <w:tcPr>
            <w:tcW w:type="dxa" w:w="1750"/>
            <w:shd w:fill="FFFFFF" w:val="clear"/>
          </w:tcPr>
          <w:p>
            <w:r>
              <w:t xml:space="preserve">70</w:t>
            </w:r>
          </w:p>
        </w:tc>
        <w:tc>
          <w:tcPr>
            <w:tcW w:type="dxa" w:w="900"/>
            <w:shd w:fill="FFFFFF" w:val="clear"/>
          </w:tcPr>
          <w:p>
            <w:r>
              <w:t xml:space="preserve">150</w:t>
            </w:r>
          </w:p>
        </w:tc>
      </w:tr>
      <w:tr>
        <w:tc>
          <w:tcPr>
            <w:tcW w:type="dxa" w:w="2400"/>
            <w:shd w:fill="F2F2F2" w:val="clear"/>
          </w:tcPr>
          <w:p>
            <w:r>
              <w:t xml:space="preserve">Total</w:t>
            </w:r>
          </w:p>
        </w:tc>
        <w:tc>
          <w:tcPr>
            <w:tcW w:type="dxa" w:w="1750"/>
            <w:shd w:fill="F2F2F2" w:val="clear"/>
          </w:tcPr>
          <w:p>
            <w:r>
              <w:t xml:space="preserve">210</w:t>
            </w:r>
          </w:p>
        </w:tc>
        <w:tc>
          <w:tcPr>
            <w:tcW w:type="dxa" w:w="1750"/>
            <w:shd w:fill="F2F2F2" w:val="clear"/>
          </w:tcPr>
          <w:p>
            <w:r>
              <w:t xml:space="preserve">255</w:t>
            </w:r>
          </w:p>
        </w:tc>
        <w:tc>
          <w:tcPr>
            <w:tcW w:type="dxa" w:w="1750"/>
            <w:shd w:fill="F2F2F2" w:val="clear"/>
          </w:tcPr>
          <w:p>
            <w:r>
              <w:t xml:space="preserve">380</w:t>
            </w:r>
          </w:p>
        </w:tc>
        <w:tc>
          <w:tcPr>
            <w:tcW w:type="dxa" w:w="1750"/>
            <w:shd w:fill="F2F2F2" w:val="clear"/>
          </w:tcPr>
          <w:p>
            <w:r>
              <w:t xml:space="preserve">355</w:t>
            </w:r>
          </w:p>
        </w:tc>
        <w:tc>
          <w:tcPr>
            <w:tcW w:type="dxa" w:w="900"/>
            <w:shd w:fill="F2F2F2" w:val="clear"/>
          </w:tcPr>
          <w:p>
            <w:r>
              <w:t xml:space="preserve">1200</w:t>
            </w:r>
          </w:p>
        </w:tc>
      </w:tr>
    </w:tbl>
    <w:p>
      <w:pPr>
        <w:spacing w:after="120"/>
      </w:pPr>
      <w:r>
        <w:t xml:space="preserve"/>
      </w:r>
    </w:p>
    <w:p>
      <w:pPr>
        <w:spacing w:after="120"/>
      </w:pPr>
      <w:r>
        <w:t xml:space="preserve">Look at the Bachelor's degree row, Strongly support column: the raw count is 160.</w:t>
      </w:r>
    </w:p>
    <w:p>
      <w:pPr>
        <w:pStyle w:val="Heading2"/>
        <w:spacing w:after="120" w:before="250"/>
      </w:pPr>
      <w:r>
        <w:t xml:space="preserve">Step 2 — row percent</w:t>
      </w:r>
    </w:p>
    <w:p>
      <w:pPr>
        <w:shd w:fill="F2F2F2" w:val="clear"/>
        <w:spacing w:after="200" w:before="100"/>
        <w:ind w:left="200" w:right="200"/>
      </w:pPr>
      <w:r>
        <w:rPr>
          <w:rFonts w:ascii="Consolas" w:cs="Consolas" w:eastAsia="Consolas" w:hAnsi="Consolas"/>
          <w:sz w:val="20"/>
          <w:szCs w:val="20"/>
        </w:rPr>
        <w:t xml:space="preserve">tabulate educ_raw policy_support, row</w:t>
      </w:r>
    </w:p>
    <w:p>
      <w:pPr>
        <w:spacing w:after="120"/>
      </w:pPr>
      <w:r>
        <w:t xml:space="preserve">With row selected, the Bachelor's-degree row (350 people total) becomes the denominator for every cell in that row. 160 / 350 = 45.7%. That number answers: “Of people with a Bachelor's degree, what percentage strongly support the policy?” — 45.7%. This is a claim ABOUT bachelor's-degree holders.</w:t>
      </w:r>
    </w:p>
    <w:p>
      <w:pPr>
        <w:pStyle w:val="Heading2"/>
        <w:spacing w:after="120" w:before="250"/>
      </w:pPr>
      <w:r>
        <w:t xml:space="preserve">Step 3 — column percent</w:t>
      </w:r>
    </w:p>
    <w:p>
      <w:pPr>
        <w:shd w:fill="F2F2F2" w:val="clear"/>
        <w:spacing w:after="200" w:before="100"/>
        <w:ind w:left="200" w:right="200"/>
      </w:pPr>
      <w:r>
        <w:rPr>
          <w:rFonts w:ascii="Consolas" w:cs="Consolas" w:eastAsia="Consolas" w:hAnsi="Consolas"/>
          <w:sz w:val="20"/>
          <w:szCs w:val="20"/>
        </w:rPr>
        <w:t xml:space="preserve">tabulate educ_raw policy_support, column</w:t>
      </w:r>
    </w:p>
    <w:p>
      <w:pPr>
        <w:spacing w:after="120"/>
      </w:pPr>
      <w:r>
        <w:t xml:space="preserve">With column selected, the Strongly-support column (355 people total) becomes the denominator for that same cell. 160 / 355 = 45.1%. That number happens to be close to the row percent in this illustrative table — but it answers a completely different question: “Of people who strongly support the policy, what percentage have a Bachelor's degree?” This is a claim ABOUT strong supporters, and it is only similar in size to the row percent by coincidence of this example's numbers; in real data, row and column percentages for the same cell frequently differ by a wide margin because the row total (350) and column total (355) need not be close, and typically are not.</w:t>
      </w:r>
    </w:p>
    <w:p>
      <w:pPr>
        <w:pStyle w:val="Heading2"/>
        <w:spacing w:after="120" w:before="250"/>
      </w:pPr>
      <w:r>
        <w:t xml:space="preserve">Step 4 — cell percent</w:t>
      </w:r>
    </w:p>
    <w:p>
      <w:pPr>
        <w:shd w:fill="F2F2F2" w:val="clear"/>
        <w:spacing w:after="200" w:before="100"/>
        <w:ind w:left="200" w:right="200"/>
      </w:pPr>
      <w:r>
        <w:rPr>
          <w:rFonts w:ascii="Consolas" w:cs="Consolas" w:eastAsia="Consolas" w:hAnsi="Consolas"/>
          <w:sz w:val="20"/>
          <w:szCs w:val="20"/>
        </w:rPr>
        <w:t xml:space="preserve">tabulate educ_raw policy_support, cell</w:t>
      </w:r>
    </w:p>
    <w:p>
      <w:pPr>
        <w:spacing w:after="120"/>
      </w:pPr>
      <w:r>
        <w:t xml:space="preserve">With cell selected, the ENTIRE sample (1,200) becomes the denominator. 160 / 1200 = 13.3%. That answers: “What percentage of everyone surveyed is both a Bachelor's-degree holder and a strong supporter?” This is always the smallest of the three numbers for a given cell, because its denominator is the largest.</w:t>
      </w:r>
    </w:p>
    <w:p>
      <w:pPr>
        <w:pStyle w:val="Heading1"/>
        <w:spacing w:after="150" w:before="300"/>
      </w:pPr>
      <w:r>
        <w:t xml:space="preserve">The worked pitfall, explicitly</w:t>
      </w:r>
    </w:p>
    <w:p>
      <w:pPr>
        <w:spacing w:after="120"/>
      </w:pPr>
      <w:r>
        <w:t xml:space="preserve">Here is the mistake this lesson is built to prevent. A researcher runs:</w:t>
      </w:r>
    </w:p>
    <w:p>
      <w:pPr>
        <w:shd w:fill="F2F2F2" w:val="clear"/>
        <w:spacing w:after="200" w:before="100"/>
        <w:ind w:left="200" w:right="200"/>
      </w:pPr>
      <w:r>
        <w:rPr>
          <w:rFonts w:ascii="Consolas" w:cs="Consolas" w:eastAsia="Consolas" w:hAnsi="Consolas"/>
          <w:sz w:val="20"/>
          <w:szCs w:val="20"/>
        </w:rPr>
        <w:t xml:space="preserve">tabulate educ_raw policy_support, column</w:t>
      </w:r>
    </w:p>
    <w:p>
      <w:pPr>
        <w:spacing w:after="120"/>
      </w:pPr>
      <w:r>
        <w:t xml:space="preserve">...sees 45.1% in the Bachelor's/Strongly-support cell, and writes in a report:</w:t>
      </w:r>
    </w:p>
    <w:p>
      <w:pPr>
        <w:spacing w:after="120"/>
      </w:pPr>
      <w:r>
        <w:rPr>
          <w:i/>
          <w:iCs/>
        </w:rPr>
        <w:t xml:space="preserve">“45.1% of Bachelor's-degree holders strongly support the policy.”</w:t>
      </w:r>
    </w:p>
    <w:p>
      <w:pPr>
        <w:spacing w:after="120"/>
      </w:pPr>
      <w:r>
        <w:t xml:space="preserve">That sentence describes a ROW-percent claim (denominator = all Bachelor's-degree holders), but the 45.1% actually came from a COLUMN-percent table (denominator = all strong supporters). The correct sentence for that 45.1% is:</w:t>
      </w:r>
    </w:p>
    <w:p>
      <w:pPr>
        <w:spacing w:after="120"/>
      </w:pPr>
      <w:r>
        <w:rPr>
          <w:i/>
          <w:iCs/>
        </w:rPr>
        <w:t xml:space="preserve">“Of people who strongly support the policy, 45.1% have a Bachelor's degree.”</w:t>
      </w:r>
    </w:p>
    <w:p>
      <w:pPr>
        <w:spacing w:after="120"/>
      </w:pPr>
      <w:r>
        <w:t xml:space="preserve">These two sentences are not interchangeable, and in most real populations they diverge substantially, because the group “Bachelor's-degree holders” and the group “strong supporters” are different sizes. Whenever education and an attitude are both correlated with some third factor (age, income), row and column percentages for the same cell can differ by 10, 20, or more percentage points — enough to flip a headline finding. The fix is mechanical and cheap: before writing any sentence describing a cross-tab percentage, name the denominator out loud (“out of all ___”) and check it against which option — row, column, or cell — you actually requested.</w:t>
      </w:r>
    </w:p>
    <w:p>
      <w:pPr>
        <w:pStyle w:val="Heading1"/>
        <w:spacing w:after="150" w:before="300"/>
      </w:pPr>
      <w:r>
        <w:t xml:space="preserve">Common pitfalls</w:t>
      </w:r>
    </w:p>
    <w:p>
      <w:pPr>
        <w:pStyle w:val="ListParagraph"/>
        <w:numPr>
          <w:ilvl w:val="0"/>
          <w:numId w:val="2"/>
        </w:numPr>
        <w:spacing w:after="60"/>
      </w:pPr>
      <w:r>
        <w:t xml:space="preserve">Requesting column but describing row (or vice versa). This is the error worked through above — always state the denominator in words and check it against the option you used.</w:t>
      </w:r>
    </w:p>
    <w:p>
      <w:pPr>
        <w:pStyle w:val="ListParagraph"/>
        <w:numPr>
          <w:ilvl w:val="0"/>
          <w:numId w:val="2"/>
        </w:numPr>
        <w:spacing w:after="60"/>
      </w:pPr>
      <w:r>
        <w:t xml:space="preserve">Trusting a percentage built on a tiny cell. Always glance at the raw-count table (Step 1) before trusting any percentage; a 50% figure built on 4 respondents is not the same kind of evidence as a 50% figure built on 400.</w:t>
      </w:r>
    </w:p>
    <w:p>
      <w:pPr>
        <w:pStyle w:val="ListParagraph"/>
        <w:numPr>
          <w:ilvl w:val="0"/>
          <w:numId w:val="2"/>
        </w:numPr>
        <w:spacing w:after="60"/>
      </w:pPr>
      <w:r>
        <w:t xml:space="preserve">Assuming row% and column% will be similar in size. They are two different denominators and, except in special cases like the illustrative table above, there is no reason for them to be close. Never use one as a stand-in for the other.</w:t>
      </w:r>
    </w:p>
    <w:p>
      <w:pPr>
        <w:pStyle w:val="ListParagraph"/>
        <w:numPr>
          <w:ilvl w:val="0"/>
          <w:numId w:val="2"/>
        </w:numPr>
        <w:spacing w:after="60"/>
      </w:pPr>
      <w:r>
        <w:t xml:space="preserve">Forgetting which variable is the row and which is the column. Stata takes them in the order you type them (tabulate ROWVAR COLVAR) — swapping the order swaps which variable's categories are the rows versus the columns, which changes what row% and column% each mean, even though the counts in the table stay logically the same.</w:t>
      </w:r>
    </w:p>
    <w:p>
      <w:pPr>
        <w:pStyle w:val="ListParagraph"/>
        <w:numPr>
          <w:ilvl w:val="0"/>
          <w:numId w:val="2"/>
        </w:numPr>
        <w:spacing w:after="60"/>
      </w:pPr>
      <w:r>
        <w:t xml:space="preserve">Reporting cell percent as if it answered a conditional question. Cell percent answers “what share of everyone is both X and Y,” not “of X, what share are Y” — it is the right tool only when the research question is genuinely about the whole sample at once.</w:t>
      </w:r>
    </w:p>
    <w:p>
      <w:pPr>
        <w:pStyle w:val="Heading1"/>
        <w:spacing w:after="150" w:before="300"/>
      </w:pPr>
      <w:r>
        <w:t xml:space="preserve">Try it yourself</w:t>
      </w:r>
    </w:p>
    <w:p>
      <w:pPr>
        <w:spacing w:after="120"/>
      </w:pPr>
      <w:r>
        <w:t xml:space="preserve">In the companion do-file (06_row_col_percentages.do), the “YOUR TURN” block at the end asks you to:</w:t>
      </w:r>
    </w:p>
    <w:p>
      <w:pPr>
        <w:pStyle w:val="ListParagraph"/>
        <w:numPr>
          <w:ilvl w:val="0"/>
          <w:numId w:val="2"/>
        </w:numPr>
        <w:spacing w:after="60"/>
      </w:pPr>
      <w:r>
        <w:t xml:space="preserve">Pick two variables from survey_clean.dta other than educ_raw and policy_support.</w:t>
      </w:r>
    </w:p>
    <w:p>
      <w:pPr>
        <w:pStyle w:val="ListParagraph"/>
        <w:numPr>
          <w:ilvl w:val="0"/>
          <w:numId w:val="2"/>
        </w:numPr>
        <w:spacing w:after="60"/>
      </w:pPr>
      <w:r>
        <w:t xml:space="preserve">For two mirror-image research questions (“Among [row category], what share are [column category]?” and its reverse), decide in a comment whether row% or column% answers each one.</w:t>
      </w:r>
    </w:p>
    <w:p>
      <w:pPr>
        <w:pStyle w:val="ListParagraph"/>
        <w:numPr>
          <w:ilvl w:val="0"/>
          <w:numId w:val="2"/>
        </w:numPr>
        <w:spacing w:after="60"/>
      </w:pPr>
      <w:r>
        <w:t xml:space="preserve">Run both tabulate ..., row and tabulate ..., column on your chosen pair and confirm your answer against the real output.</w:t>
      </w:r>
    </w:p>
    <w:p>
      <w:pPr>
        <w:pStyle w:val="ListParagraph"/>
        <w:numPr>
          <w:ilvl w:val="0"/>
          <w:numId w:val="2"/>
        </w:numPr>
        <w:spacing w:after="60"/>
      </w:pPr>
      <w:r>
        <w:t xml:space="preserve">Write one sentence describing a specific cell using the percentage type you did NOT choose, to see for yourself how it would have misstated the finding.</w:t>
      </w:r>
    </w:p>
    <w:p>
      <w:pPr>
        <w:pStyle w:val="Heading1"/>
        <w:spacing w:after="150" w:before="300"/>
      </w:pPr>
      <w:r>
        <w:t xml:space="preserve">Sources &amp; further reading</w:t>
      </w:r>
    </w:p>
    <w:p>
      <w:pPr>
        <w:pStyle w:val="ListParagraph"/>
        <w:numPr>
          <w:ilvl w:val="0"/>
          <w:numId w:val="2"/>
        </w:numPr>
        <w:spacing w:after="60"/>
      </w:pPr>
      <w:r>
        <w:t xml:space="preserve">StataCorp, Stata 18 Reference Manual, [R] tabulate twoway — the official documentation for the row, column, and cell options used throughout this lesson.</w:t>
      </w:r>
    </w:p>
    <w:p>
      <w:pPr>
        <w:pStyle w:val="ListParagraph"/>
        <w:numPr>
          <w:ilvl w:val="0"/>
          <w:numId w:val="2"/>
        </w:numPr>
        <w:spacing w:after="60"/>
      </w:pPr>
      <w:r>
        <w:t xml:space="preserve">UCLA Advanced Research Computing (IDRE), “Stata Learning Module: Cross Tabulation Statistics,” stats.oarc.ucla.edu/stata/ — worked examples of tabulate with row/column/cell percentages.</w:t>
      </w:r>
    </w:p>
    <w:p>
      <w:pPr>
        <w:pStyle w:val="ListParagraph"/>
        <w:numPr>
          <w:ilvl w:val="0"/>
          <w:numId w:val="2"/>
        </w:numPr>
        <w:spacing w:after="60"/>
      </w:pPr>
      <w:r>
        <w:t xml:space="preserve">Statalist (statalist.org) — the official Stata user forum; search “row percent vs column percent” for community discussion of common misreadings of two-way tables.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2026-07-30T15:27:18.470Z</dcterms:created>
  <dcterms:modified xsi:type="dcterms:W3CDTF">2026-07-30T15:27:18.470Z</dcterms:modified>
</cp:coreProperties>
</file>

<file path=docProps/custom.xml><?xml version="1.0" encoding="utf-8"?>
<Properties xmlns="http://schemas.openxmlformats.org/officeDocument/2006/custom-properties" xmlns:vt="http://schemas.openxmlformats.org/officeDocument/2006/docPropsVTypes"/>
</file>