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Lesson 08: Introduction to Regression</w:t>
      </w:r>
    </w:p>
    <w:p>
      <w:pPr>
        <w:spacing w:after="300"/>
      </w:pPr>
      <w:r>
        <w:rPr>
          <w:i/>
          <w:iCs/>
          <w:color w:val="555555"/>
          <w:sz w:val="22"/>
          <w:szCs w:val="22"/>
        </w:rPr>
        <w:t xml:space="preserve">Companion guide — Stata Curriculum for Survey Researchers (Lesson 8 of 14)</w:t>
      </w:r>
    </w:p>
    <w:p>
      <w:pPr>
        <w:pStyle w:val="Heading1"/>
        <w:spacing w:after="150" w:before="300"/>
      </w:pPr>
      <w:r>
        <w:t xml:space="preserve">What this lesson is about</w:t>
      </w:r>
    </w:p>
    <w:p>
      <w:pPr>
        <w:spacing w:after="140"/>
      </w:pPr>
      <w:r>
        <w:t xml:space="preserve">So far you've learned to describe your survey data — tabulations, confidence intervals, weighted percentages. This lesson takes the first step into modeling: using regression to describe how one variable relates to another while holding other variables constant. You will fit two kinds of models on the cleaned dataset (data/survey_clean.dta):</w:t>
      </w:r>
    </w:p>
    <w:p>
      <w:pPr>
        <w:pStyle w:val="ListParagraph"/>
        <w:numPr>
          <w:ilvl w:val="0"/>
          <w:numId w:val="2"/>
        </w:numPr>
        <w:spacing w:after="80"/>
      </w:pPr>
      <w:r>
        <w:t xml:space="preserve">A linear regression (regress) predicting a continuous outcome, life satisfaction (satisfaction, 0-10).</w:t>
      </w:r>
    </w:p>
    <w:p>
      <w:pPr>
        <w:pStyle w:val="ListParagraph"/>
        <w:numPr>
          <w:ilvl w:val="0"/>
          <w:numId w:val="2"/>
        </w:numPr>
        <w:spacing w:after="80"/>
      </w:pPr>
      <w:r>
        <w:t xml:space="preserve">A logistic regression (logit and logistic) predicting a binary outcome, whether someone voted in the last election (voted_last_election, 0/1).</w:t>
      </w:r>
    </w:p>
    <w:p>
      <w:pPr>
        <w:shd w:fill="FFF6DC" w:val="clear"/>
        <w:spacing w:after="140" w:before="100"/>
        <w:ind w:left="200"/>
      </w:pPr>
      <w:r>
        <w:rPr>
          <w:b/>
          <w:bCs/>
          <w:i/>
          <w:iCs/>
        </w:rPr>
        <w:t xml:space="preserve">Important: </w:t>
      </w:r>
      <w:r>
        <w:rPr>
          <w:i/>
          <w:iCs/>
        </w:rPr>
        <w:t xml:space="preserve">Every model in this lesson deliberately ignores the survey design (the pweight, the psu clusters, the region strata) that you set up in Lesson 05. That's on purpose — it lets you focus on regression syntax and interpretation without the extra layer of survey-design complexity. Lesson 09 refits these exact same two models the correct way, with svy:, and you'll compare the results side by side. Never report the unweighted numbers from this lesson as your final analysis of real survey data.</w:t>
      </w:r>
    </w:p>
    <w:p>
      <w:pPr>
        <w:pStyle w:val="Heading1"/>
        <w:spacing w:after="150" w:before="300"/>
      </w:pPr>
      <w:r>
        <w:t xml:space="preserve">Why this matters for survey research</w:t>
      </w:r>
    </w:p>
    <w:p>
      <w:pPr>
        <w:spacing w:after="140"/>
      </w:pPr>
      <w:r>
        <w:t xml:space="preserve">Survey researchers usually want more than a single average or percentage — you want to know whether an association holds up after accounting for other explanations. Does income predict satisfaction because of income itself, or because income is correlated with education, and education is really doing the work? Regression is the standard tool for asking “holding other things equal, how does X relate to Y?” Getting comfortable with plain regression first will make Lesson 09's survey-adjusted versions much easier to follow, because the syntax and output structure are nearly identical — only the standard errors (and how you handle subgroups) change.</w:t>
      </w:r>
    </w:p>
    <w:p>
      <w:pPr>
        <w:pStyle w:val="Heading1"/>
        <w:spacing w:after="150" w:before="300"/>
      </w:pPr>
      <w:r>
        <w:t xml:space="preserve">Annotated walkthrough</w:t>
      </w:r>
    </w:p>
    <w:p>
      <w:pPr>
        <w:pStyle w:val="Heading2"/>
        <w:spacing w:after="120" w:before="240"/>
      </w:pPr>
      <w:r>
        <w:t xml:space="preserve">1. Setting up</w:t>
      </w:r>
    </w:p>
    <w:p>
      <w:pPr>
        <w:shd w:fill="F2F2F2" w:val="clear"/>
        <w:spacing w:after="100" w:before="60"/>
      </w:pPr>
      <w:r>
        <w:rPr>
          <w:rFonts w:ascii="Consolas" w:cs="Consolas" w:eastAsia="Consolas" w:hAnsi="Consolas"/>
          <w:sz w:val="20"/>
          <w:szCs w:val="20"/>
        </w:rPr>
        <w:t xml:space="preserve">use "../../data/survey_clean.dta", clear</w:t>
      </w:r>
    </w:p>
    <w:p>
      <w:pPr>
        <w:spacing w:after="140"/>
      </w:pPr>
      <w:r>
        <w:t xml:space="preserve">This loads the cleaned dataset built in Lesson 02. No svyset here — we are intentionally working unweighted for this lesson.</w:t>
      </w:r>
    </w:p>
    <w:p>
      <w:pPr>
        <w:pStyle w:val="Heading2"/>
        <w:spacing w:after="120" w:before="240"/>
      </w:pPr>
      <w:r>
        <w:t xml:space="preserve">2. The linear regression: regress</w:t>
      </w:r>
    </w:p>
    <w:p>
      <w:pPr>
        <w:shd w:fill="F2F2F2" w:val="clear"/>
        <w:spacing w:after="100" w:before="60"/>
      </w:pPr>
      <w:r>
        <w:rPr>
          <w:rFonts w:ascii="Consolas" w:cs="Consolas" w:eastAsia="Consolas" w:hAnsi="Consolas"/>
          <w:sz w:val="20"/>
          <w:szCs w:val="20"/>
        </w:rPr>
        <w:t xml:space="preserve">regress satisfaction age income_k i.educ_raw</w:t>
      </w:r>
    </w:p>
    <w:p>
      <w:pPr>
        <w:spacing w:after="140"/>
      </w:pPr>
      <w:r>
        <w:t xml:space="preserve">Illustrative example output (values below are for teaching purposes only, not real results):</w:t>
      </w:r>
    </w:p>
    <w:p>
      <w:pPr>
        <w:shd w:fill="EAEAEA" w:val="clear"/>
        <w:spacing w:after="0"/>
      </w:pPr>
      <w:r>
        <w:rPr>
          <w:rFonts w:ascii="Consolas" w:cs="Consolas" w:eastAsia="Consolas" w:hAnsi="Consolas"/>
          <w:color w:val="1A1A1A"/>
          <w:sz w:val="18"/>
          <w:szCs w:val="18"/>
        </w:rPr>
        <w:t xml:space="preserve">      Source |       SS           df       MS      Number of obs   =     1,142</w:t>
      </w:r>
    </w:p>
    <w:p>
      <w:pPr>
        <w:shd w:fill="EAEAEA" w:val="clear"/>
        <w:spacing w:after="0"/>
      </w:pPr>
      <w:r>
        <w:rPr>
          <w:rFonts w:ascii="Consolas" w:cs="Consolas" w:eastAsia="Consolas" w:hAnsi="Consolas"/>
          <w:color w:val="1A1A1A"/>
          <w:sz w:val="18"/>
          <w:szCs w:val="18"/>
        </w:rPr>
        <w:t xml:space="preserve">-------------+----------------------------------   F(6, 1135)      =     14.62</w:t>
      </w:r>
    </w:p>
    <w:p>
      <w:pPr>
        <w:shd w:fill="EAEAEA" w:val="clear"/>
        <w:spacing w:after="0"/>
      </w:pPr>
      <w:r>
        <w:rPr>
          <w:rFonts w:ascii="Consolas" w:cs="Consolas" w:eastAsia="Consolas" w:hAnsi="Consolas"/>
          <w:color w:val="1A1A1A"/>
          <w:sz w:val="18"/>
          <w:szCs w:val="18"/>
        </w:rPr>
        <w:t xml:space="preserve">       Model |   612.481725         6  102.080287   Prob &gt; F        =    0.0000</w:t>
      </w:r>
    </w:p>
    <w:p>
      <w:pPr>
        <w:shd w:fill="EAEAEA" w:val="clear"/>
        <w:spacing w:after="0"/>
      </w:pPr>
      <w:r>
        <w:rPr>
          <w:rFonts w:ascii="Consolas" w:cs="Consolas" w:eastAsia="Consolas" w:hAnsi="Consolas"/>
          <w:color w:val="1A1A1A"/>
          <w:sz w:val="18"/>
          <w:szCs w:val="18"/>
        </w:rPr>
        <w:t xml:space="preserve">    Residual |  7929.101144     1,135  6.98590...   R-squared       =    0.0717</w:t>
      </w:r>
    </w:p>
    <w:p>
      <w:pPr>
        <w:shd w:fill="EAEAEA" w:val="clear"/>
        <w:spacing w:after="0"/>
      </w:pPr>
      <w:r>
        <w:rPr>
          <w:rFonts w:ascii="Consolas" w:cs="Consolas" w:eastAsia="Consolas" w:hAnsi="Consolas"/>
          <w:color w:val="1A1A1A"/>
          <w:sz w:val="18"/>
          <w:szCs w:val="18"/>
        </w:rPr>
        <w:t xml:space="preserve">-------------+----------------------------------   Adj R-squared   =    0.0668</w:t>
      </w:r>
    </w:p>
    <w:p>
      <w:pPr>
        <w:shd w:fill="EAEAEA" w:val="clear"/>
        <w:spacing w:after="0"/>
      </w:pPr>
      <w:r>
        <w:rPr>
          <w:rFonts w:ascii="Consolas" w:cs="Consolas" w:eastAsia="Consolas" w:hAnsi="Consolas"/>
          <w:color w:val="1A1A1A"/>
          <w:sz w:val="18"/>
          <w:szCs w:val="18"/>
        </w:rPr>
        <w:t xml:space="preserve">       Total |  8541.582869     1,141  7.48605...   Root MSE        =    2.6431</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satisfaction |      Coef.   Std. Err.      t    P&gt;|t|     [95% Conf. Interval]</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         age |    .0182      .0051       3.57   0.000       .0082       .0282</w:t>
      </w:r>
    </w:p>
    <w:p>
      <w:pPr>
        <w:shd w:fill="EAEAEA" w:val="clear"/>
        <w:spacing w:after="0"/>
      </w:pPr>
      <w:r>
        <w:rPr>
          <w:rFonts w:ascii="Consolas" w:cs="Consolas" w:eastAsia="Consolas" w:hAnsi="Consolas"/>
          <w:color w:val="1A1A1A"/>
          <w:sz w:val="18"/>
          <w:szCs w:val="18"/>
        </w:rPr>
        <w:t xml:space="preserve">    income_k |    .0091      .0021       4.33   0.000       .0050       .0132</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    educ_raw |</w:t>
      </w:r>
    </w:p>
    <w:p>
      <w:pPr>
        <w:shd w:fill="EAEAEA" w:val="clear"/>
        <w:spacing w:after="0"/>
      </w:pPr>
      <w:r>
        <w:rPr>
          <w:rFonts w:ascii="Consolas" w:cs="Consolas" w:eastAsia="Consolas" w:hAnsi="Consolas"/>
          <w:color w:val="1A1A1A"/>
          <w:sz w:val="18"/>
          <w:szCs w:val="18"/>
        </w:rPr>
        <w:t xml:space="preserve">          2  |    .1832      .1974       0.93   0.353      -.2041       .5705</w:t>
      </w:r>
    </w:p>
    <w:p>
      <w:pPr>
        <w:shd w:fill="EAEAEA" w:val="clear"/>
        <w:spacing w:after="0"/>
      </w:pPr>
      <w:r>
        <w:rPr>
          <w:rFonts w:ascii="Consolas" w:cs="Consolas" w:eastAsia="Consolas" w:hAnsi="Consolas"/>
          <w:color w:val="1A1A1A"/>
          <w:sz w:val="18"/>
          <w:szCs w:val="18"/>
        </w:rPr>
        <w:t xml:space="preserve">          3  |    .4415      .2001       2.21   0.028       .0489       .8341</w:t>
      </w:r>
    </w:p>
    <w:p>
      <w:pPr>
        <w:shd w:fill="EAEAEA" w:val="clear"/>
        <w:spacing w:after="0"/>
      </w:pPr>
      <w:r>
        <w:rPr>
          <w:rFonts w:ascii="Consolas" w:cs="Consolas" w:eastAsia="Consolas" w:hAnsi="Consolas"/>
          <w:color w:val="1A1A1A"/>
          <w:sz w:val="18"/>
          <w:szCs w:val="18"/>
        </w:rPr>
        <w:t xml:space="preserve">          4  |    .8827      .2118       4.17   0.000       .4670       1.2984</w:t>
      </w:r>
    </w:p>
    <w:p>
      <w:pPr>
        <w:shd w:fill="EAEAEA" w:val="clear"/>
        <w:spacing w:after="0"/>
      </w:pPr>
      <w:r>
        <w:rPr>
          <w:rFonts w:ascii="Consolas" w:cs="Consolas" w:eastAsia="Consolas" w:hAnsi="Consolas"/>
          <w:color w:val="1A1A1A"/>
          <w:sz w:val="18"/>
          <w:szCs w:val="18"/>
        </w:rPr>
        <w:t xml:space="preserve">          5  |    1.1054      .2389       4.63   0.000       .6366       1.5742</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       _cons |    5.1223      .3011      17.02   0.000       4.5316       5.7130</w:t>
      </w:r>
    </w:p>
    <w:p>
      <w:pPr>
        <w:shd w:fill="EAEAEA" w:val="clear"/>
        <w:spacing w:after="0"/>
      </w:pPr>
      <w:r>
        <w:rPr>
          <w:rFonts w:ascii="Consolas" w:cs="Consolas" w:eastAsia="Consolas" w:hAnsi="Consolas"/>
          <w:color w:val="1A1A1A"/>
          <w:sz w:val="18"/>
          <w:szCs w:val="18"/>
        </w:rPr>
        <w:t xml:space="preserve">------------------------------------------------------------------------------</w:t>
      </w:r>
    </w:p>
    <w:p>
      <w:pPr>
        <w:spacing w:after="140"/>
      </w:pPr>
      <w:r>
        <w:t xml:space="preserve">How to read this table, column by column:</w:t>
      </w:r>
    </w:p>
    <w:p>
      <w:pPr>
        <w:pStyle w:val="ListParagraph"/>
        <w:numPr>
          <w:ilvl w:val="0"/>
          <w:numId w:val="2"/>
        </w:numPr>
        <w:spacing w:after="80"/>
      </w:pPr>
      <w:r>
        <w:t xml:space="preserve">Coef. — the estimated effect of a one-unit increase in that predictor on satisfaction, holding the other predictors constant. For i.educ_raw levels, it's the gap versus the omitted base category.</w:t>
      </w:r>
    </w:p>
    <w:p>
      <w:pPr>
        <w:pStyle w:val="ListParagraph"/>
        <w:numPr>
          <w:ilvl w:val="0"/>
          <w:numId w:val="2"/>
        </w:numPr>
        <w:spacing w:after="80"/>
      </w:pPr>
      <w:r>
        <w:t xml:space="preserve">Std. Err. — the standard error of that coefficient estimate.</w:t>
      </w:r>
    </w:p>
    <w:p>
      <w:pPr>
        <w:pStyle w:val="ListParagraph"/>
        <w:numPr>
          <w:ilvl w:val="0"/>
          <w:numId w:val="2"/>
        </w:numPr>
        <w:spacing w:after="80"/>
      </w:pPr>
      <w:r>
        <w:t xml:space="preserve">t — Coef. divided by Std. Err.; the test statistic for the null hypothesis that the true coefficient is zero.</w:t>
      </w:r>
    </w:p>
    <w:p>
      <w:pPr>
        <w:pStyle w:val="ListParagraph"/>
        <w:numPr>
          <w:ilvl w:val="0"/>
          <w:numId w:val="2"/>
        </w:numPr>
        <w:spacing w:after="80"/>
      </w:pPr>
      <w:r>
        <w:t xml:space="preserve">P&gt;|t| — the two-sided p-value for that t statistic.</w:t>
      </w:r>
    </w:p>
    <w:p>
      <w:pPr>
        <w:pStyle w:val="ListParagraph"/>
        <w:numPr>
          <w:ilvl w:val="0"/>
          <w:numId w:val="2"/>
        </w:numPr>
        <w:spacing w:after="80"/>
      </w:pPr>
      <w:r>
        <w:t xml:space="preserve">[95% Conf. Interval] — the range of coefficient values consistent with the data at 95% confidence.</w:t>
      </w:r>
    </w:p>
    <w:p>
      <w:pPr>
        <w:shd w:fill="FFF6DC" w:val="clear"/>
        <w:spacing w:after="140" w:before="100"/>
        <w:ind w:left="200"/>
      </w:pPr>
      <w:r>
        <w:rPr>
          <w:b/>
          <w:bCs/>
          <w:i/>
          <w:iCs/>
        </w:rPr>
        <w:t xml:space="preserve">About i.educ_raw and the base category: </w:t>
      </w:r>
      <w:r>
        <w:rPr>
          <w:i/>
          <w:iCs/>
        </w:rPr>
        <w:t xml:space="preserve">By default, Stata's factor-variable notation drops the smallest numeric value (here, 1 = Less than high school) as the reference category. The rows labeled 2, 3, 4, 5 show the estimated gap in satisfaction for each education level relative to “less than high school,” holding age and income constant. In the illustrative output above, a bachelor's degree (4) is associated with about 0.88 points higher satisfaction than less than high school, holding age and income fixed.</w:t>
      </w:r>
    </w:p>
    <w:p>
      <w:pPr>
        <w:shd w:fill="FFF6DC" w:val="clear"/>
        <w:spacing w:after="140" w:before="100"/>
        <w:ind w:left="200"/>
      </w:pPr>
      <w:r>
        <w:rPr>
          <w:b/>
          <w:bCs/>
          <w:i/>
          <w:iCs/>
        </w:rPr>
        <w:t xml:space="preserve">Don't over-read R-squared: </w:t>
      </w:r>
      <w:r>
        <w:rPr>
          <w:i/>
          <w:iCs/>
        </w:rPr>
        <w:t xml:space="preserve">An R-squared around 0.07, as in the illustrative table, looks low if you're used to physical-science models, but it is completely ordinary for individual-level attitude/behavior data. People's life satisfaction depends on many things a three-variable model can't capture. A small R-squared does not mean the coefficients above are meaningless — it means there is a lot of unexplained variation at the individual level. Judge the model by whether the coefficients are sensible and precisely estimated, not by how much variance it explains.</w:t>
      </w:r>
    </w:p>
    <w:p>
      <w:pPr>
        <w:pStyle w:val="Heading2"/>
        <w:spacing w:after="120" w:before="240"/>
      </w:pPr>
      <w:r>
        <w:t xml:space="preserve">3. Predicted values with margins</w:t>
      </w:r>
    </w:p>
    <w:p>
      <w:pPr>
        <w:shd w:fill="F2F2F2" w:val="clear"/>
        <w:spacing w:after="100" w:before="60"/>
      </w:pPr>
      <w:r>
        <w:rPr>
          <w:rFonts w:ascii="Consolas" w:cs="Consolas" w:eastAsia="Consolas" w:hAnsi="Consolas"/>
          <w:sz w:val="20"/>
          <w:szCs w:val="20"/>
        </w:rPr>
        <w:t xml:space="preserve">margins educ_raw</w:t>
      </w:r>
    </w:p>
    <w:p>
      <w:pPr>
        <w:spacing w:after="140"/>
      </w:pPr>
      <w:r>
        <w:t xml:space="preserve">This produces the model's average predicted satisfaction score at each education level, holding age and income at each respondent's own observed values (Stata calls this a “predictive margin”). It's often the easiest thing to hand to a non-technical audience — a single predicted number per group, each with its own confidence interval — rather than a table of coefficients.</w:t>
      </w:r>
    </w:p>
    <w:p>
      <w:pPr>
        <w:pStyle w:val="Heading2"/>
        <w:spacing w:after="120" w:before="240"/>
      </w:pPr>
      <w:r>
        <w:t xml:space="preserve">4. A light-touch multicollinearity check: estat vif</w:t>
      </w:r>
    </w:p>
    <w:p>
      <w:pPr>
        <w:shd w:fill="F2F2F2" w:val="clear"/>
        <w:spacing w:after="100" w:before="60"/>
      </w:pPr>
      <w:r>
        <w:rPr>
          <w:rFonts w:ascii="Consolas" w:cs="Consolas" w:eastAsia="Consolas" w:hAnsi="Consolas"/>
          <w:sz w:val="20"/>
          <w:szCs w:val="20"/>
        </w:rPr>
        <w:t xml:space="preserve">estat vif</w:t>
      </w:r>
    </w:p>
    <w:p>
      <w:pPr>
        <w:spacing w:after="140"/>
      </w:pPr>
      <w:r>
        <w:t xml:space="preserve">Multicollinearity is when predictors are so highly correlated with each other that the model can't cleanly separate their individual effects, which inflates their standard errors. estat vif, run right after regress, reports a variance inflation factor for each predictor. A common rule of thumb: VIF above roughly 10 (some analysts use a stricter cutoff of 5) is worth a closer look. This is not a deep diagnostics lesson — just know the command exists and roughly what the number means.</w:t>
      </w:r>
    </w:p>
    <w:p>
      <w:pPr>
        <w:pStyle w:val="Heading2"/>
        <w:spacing w:after="120" w:before="240"/>
      </w:pPr>
      <w:r>
        <w:t xml:space="preserve">5. Logistic regression, log-odds display: logit</w:t>
      </w:r>
    </w:p>
    <w:p>
      <w:pPr>
        <w:shd w:fill="F2F2F2" w:val="clear"/>
        <w:spacing w:after="100" w:before="60"/>
      </w:pPr>
      <w:r>
        <w:rPr>
          <w:rFonts w:ascii="Consolas" w:cs="Consolas" w:eastAsia="Consolas" w:hAnsi="Consolas"/>
          <w:sz w:val="20"/>
          <w:szCs w:val="20"/>
        </w:rPr>
        <w:t xml:space="preserve">logit voted_last_election age i.educ_raw</w:t>
      </w:r>
    </w:p>
    <w:p>
      <w:pPr>
        <w:spacing w:after="140"/>
      </w:pPr>
      <w:r>
        <w:t xml:space="preserve">voted_last_election is 0/1, so ordinary regress is the wrong tool — its predictions aren't bounded between 0 and 1 and its standard errors are technically wrong for a binary outcome. logit fits a logistic regression and reports coefficients on the log-odds scale: positive means higher odds of voting, negative means lower odds, but the raw number itself (e.g. 0.59) isn't something most audiences can interpret intuitively.</w:t>
      </w:r>
    </w:p>
    <w:p>
      <w:pPr>
        <w:pStyle w:val="Heading2"/>
        <w:spacing w:after="120" w:before="240"/>
      </w:pPr>
      <w:r>
        <w:t xml:space="preserve">6. The same model, odds-ratio display: logistic</w:t>
      </w:r>
    </w:p>
    <w:p>
      <w:pPr>
        <w:shd w:fill="F2F2F2" w:val="clear"/>
        <w:spacing w:after="100" w:before="60"/>
      </w:pPr>
      <w:r>
        <w:rPr>
          <w:rFonts w:ascii="Consolas" w:cs="Consolas" w:eastAsia="Consolas" w:hAnsi="Consolas"/>
          <w:sz w:val="20"/>
          <w:szCs w:val="20"/>
        </w:rPr>
        <w:t xml:space="preserve">logistic voted_last_election age i.educ_raw</w:t>
      </w:r>
    </w:p>
    <w:p>
      <w:pPr>
        <w:spacing w:after="140"/>
      </w:pPr>
      <w:r>
        <w:t xml:space="preserve">logistic fits the identical model as logit — same coefficients, same standard errors, same p-values, same log-likelihood underneath — it simply exponentiates the coefficients for display, turning log-odds into odds ratios.</w:t>
      </w:r>
    </w:p>
    <w:p>
      <w:pPr>
        <w:spacing w:after="140"/>
      </w:pPr>
      <w:r>
        <w:t xml:space="preserve">Illustrative example output:</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voted_last~n | Odds Ratio   Std. Err.      z    P&gt;|z|     [95% Conf. Interval]</w:t>
      </w:r>
    </w:p>
    <w:p>
      <w:pPr>
        <w:shd w:fill="EAEAEA" w:val="clear"/>
        <w:spacing w:after="0"/>
      </w:pPr>
      <w:r>
        <w:rPr>
          <w:rFonts w:ascii="Consolas" w:cs="Consolas" w:eastAsia="Consolas" w:hAnsi="Consolas"/>
          <w:color w:val="1A1A1A"/>
          <w:sz w:val="18"/>
          <w:szCs w:val="18"/>
        </w:rPr>
        <w:t xml:space="preserve">-------------+----------------------------------------------------------------</w:t>
      </w:r>
    </w:p>
    <w:p>
      <w:pPr>
        <w:shd w:fill="EAEAEA" w:val="clear"/>
        <w:spacing w:after="0"/>
      </w:pPr>
      <w:r>
        <w:rPr>
          <w:rFonts w:ascii="Consolas" w:cs="Consolas" w:eastAsia="Consolas" w:hAnsi="Consolas"/>
          <w:color w:val="1A1A1A"/>
          <w:sz w:val="18"/>
          <w:szCs w:val="18"/>
        </w:rPr>
        <w:t xml:space="preserve">         age |   1.0187      .0043       4.41   0.000      1.0102       1.0273</w:t>
      </w:r>
    </w:p>
    <w:p>
      <w:pPr>
        <w:shd w:fill="EAEAEA" w:val="clear"/>
        <w:spacing w:after="0"/>
      </w:pPr>
      <w:r>
        <w:rPr>
          <w:rFonts w:ascii="Consolas" w:cs="Consolas" w:eastAsia="Consolas" w:hAnsi="Consolas"/>
          <w:color w:val="1A1A1A"/>
          <w:sz w:val="18"/>
          <w:szCs w:val="18"/>
        </w:rPr>
        <w:t xml:space="preserve">             |</w:t>
      </w:r>
    </w:p>
    <w:p>
      <w:pPr>
        <w:shd w:fill="EAEAEA" w:val="clear"/>
        <w:spacing w:after="0"/>
      </w:pPr>
      <w:r>
        <w:rPr>
          <w:rFonts w:ascii="Consolas" w:cs="Consolas" w:eastAsia="Consolas" w:hAnsi="Consolas"/>
          <w:color w:val="1A1A1A"/>
          <w:sz w:val="18"/>
          <w:szCs w:val="18"/>
        </w:rPr>
        <w:t xml:space="preserve">    educ_raw |</w:t>
      </w:r>
    </w:p>
    <w:p>
      <w:pPr>
        <w:shd w:fill="EAEAEA" w:val="clear"/>
        <w:spacing w:after="0"/>
      </w:pPr>
      <w:r>
        <w:rPr>
          <w:rFonts w:ascii="Consolas" w:cs="Consolas" w:eastAsia="Consolas" w:hAnsi="Consolas"/>
          <w:color w:val="1A1A1A"/>
          <w:sz w:val="18"/>
          <w:szCs w:val="18"/>
        </w:rPr>
        <w:t xml:space="preserve">          2  |   1.1421      .1866       0.81   0.416       .8286       1.5738</w:t>
      </w:r>
    </w:p>
    <w:p>
      <w:pPr>
        <w:shd w:fill="EAEAEA" w:val="clear"/>
        <w:spacing w:after="0"/>
      </w:pPr>
      <w:r>
        <w:rPr>
          <w:rFonts w:ascii="Consolas" w:cs="Consolas" w:eastAsia="Consolas" w:hAnsi="Consolas"/>
          <w:color w:val="1A1A1A"/>
          <w:sz w:val="18"/>
          <w:szCs w:val="18"/>
        </w:rPr>
        <w:t xml:space="preserve">          3  |   1.3897      .2251       1.99   0.047      1.0044       1.9226</w:t>
      </w:r>
    </w:p>
    <w:p>
      <w:pPr>
        <w:shd w:fill="EAEAEA" w:val="clear"/>
        <w:spacing w:after="0"/>
      </w:pPr>
      <w:r>
        <w:rPr>
          <w:rFonts w:ascii="Consolas" w:cs="Consolas" w:eastAsia="Consolas" w:hAnsi="Consolas"/>
          <w:color w:val="1A1A1A"/>
          <w:sz w:val="18"/>
          <w:szCs w:val="18"/>
        </w:rPr>
        <w:t xml:space="preserve">          4  |   1.8103      .3037       3.48   0.000      1.2934       2.5341</w:t>
      </w:r>
    </w:p>
    <w:p>
      <w:pPr>
        <w:shd w:fill="EAEAEA" w:val="clear"/>
        <w:spacing w:after="0"/>
      </w:pPr>
      <w:r>
        <w:rPr>
          <w:rFonts w:ascii="Consolas" w:cs="Consolas" w:eastAsia="Consolas" w:hAnsi="Consolas"/>
          <w:color w:val="1A1A1A"/>
          <w:sz w:val="18"/>
          <w:szCs w:val="18"/>
        </w:rPr>
        <w:t xml:space="preserve">          5  |   2.0552      .3902       3.83   0.000      1.4276       2.9598</w:t>
      </w:r>
    </w:p>
    <w:p>
      <w:pPr>
        <w:shd w:fill="EAEAEA" w:val="clear"/>
        <w:spacing w:after="0"/>
      </w:pPr>
      <w:r>
        <w:rPr>
          <w:rFonts w:ascii="Consolas" w:cs="Consolas" w:eastAsia="Consolas" w:hAnsi="Consolas"/>
          <w:color w:val="1A1A1A"/>
          <w:sz w:val="18"/>
          <w:szCs w:val="18"/>
        </w:rPr>
        <w:t xml:space="preserve">------------------------------------------------------------------------------</w:t>
      </w:r>
    </w:p>
    <w:p>
      <w:pPr>
        <w:shd w:fill="FFF6DC" w:val="clear"/>
        <w:spacing w:after="140" w:before="100"/>
        <w:ind w:left="200"/>
      </w:pPr>
      <w:r>
        <w:rPr>
          <w:b/>
          <w:bCs/>
          <w:i/>
          <w:iCs/>
        </w:rPr>
        <w:t xml:space="preserve">Interpreting an odds ratio in plain English: </w:t>
      </w:r>
      <w:r>
        <w:rPr>
          <w:i/>
          <w:iCs/>
        </w:rPr>
        <w:t xml:space="preserve">An odds ratio of 1.00 = no association. Above 1 = higher odds of the outcome; below 1 = lower odds. Using the illustrative table: an odds ratio of 1.81 for education level 4 (Bachelor's degree) means “holding age constant, respondents with a bachelor's degree have about 1.8 times the odds of having voted, compared to respondents with less than a high school education.” This is a statement about odds, not probability — the two move together but are not the same number, and they diverge more as the baseline probability moves away from 50%.</w:t>
      </w:r>
    </w:p>
    <w:p>
      <w:pPr>
        <w:pStyle w:val="Heading1"/>
        <w:spacing w:after="150" w:before="300"/>
      </w:pPr>
      <w:r>
        <w:t xml:space="preserve">Common pitfalls</w:t>
      </w:r>
    </w:p>
    <w:p>
      <w:pPr>
        <w:pStyle w:val="ListParagraph"/>
        <w:numPr>
          <w:ilvl w:val="0"/>
          <w:numId w:val="2"/>
        </w:numPr>
        <w:spacing w:after="80"/>
      </w:pPr>
      <w:r>
        <w:t xml:space="preserve">Treating i.educ_raw's coefficients as if the base category were arbitrary or unlabeled. It isn't arbitrary — Stata drops the smallest numeric code by default, and every other level's coefficient is a contrast against that specific category. Always check (and report) which category is the base.</w:t>
      </w:r>
    </w:p>
    <w:p>
      <w:pPr>
        <w:pStyle w:val="ListParagraph"/>
        <w:numPr>
          <w:ilvl w:val="0"/>
          <w:numId w:val="2"/>
        </w:numPr>
        <w:spacing w:after="80"/>
      </w:pPr>
      <w:r>
        <w:t xml:space="preserve">Reading logit coefficients as if they were odds ratios, or vice versa. A log-odds coefficient of 0.59 is not “a 59% increase in odds” — you must exponentiate it (or just use logistic) before making an odds-ratio statement.</w:t>
      </w:r>
    </w:p>
    <w:p>
      <w:pPr>
        <w:pStyle w:val="ListParagraph"/>
        <w:numPr>
          <w:ilvl w:val="0"/>
          <w:numId w:val="2"/>
        </w:numPr>
        <w:spacing w:after="80"/>
      </w:pPr>
      <w:r>
        <w:t xml:space="preserve">Chasing a bigger R-squared by adding variables. In individual-level survey/attitude data, small R-squared values are normal and do not, by themselves, indicate a poor or invalid model.</w:t>
      </w:r>
    </w:p>
    <w:p>
      <w:pPr>
        <w:pStyle w:val="ListParagraph"/>
        <w:numPr>
          <w:ilvl w:val="0"/>
          <w:numId w:val="2"/>
        </w:numPr>
        <w:spacing w:after="80"/>
      </w:pPr>
      <w:r>
        <w:t xml:space="preserve">Reporting these Lesson 08 numbers as final results for the actual survey. They ignore the sampling weights and clustered/stratified design; Lesson 09's svy: versions are the ones that belong in a real report.</w:t>
      </w:r>
    </w:p>
    <w:p>
      <w:pPr>
        <w:pStyle w:val="ListParagraph"/>
        <w:numPr>
          <w:ilvl w:val="0"/>
          <w:numId w:val="2"/>
        </w:numPr>
        <w:spacing w:after="80"/>
      </w:pPr>
      <w:r>
        <w:t xml:space="preserve">Confusing statistical significance with practical importance — always look at the size of the coefficient/odds ratio and its confidence interval, not just whether the p-value is below 0.05.</w:t>
      </w:r>
    </w:p>
    <w:p>
      <w:pPr>
        <w:pStyle w:val="Heading1"/>
        <w:spacing w:after="150" w:before="300"/>
      </w:pPr>
      <w:r>
        <w:t xml:space="preserve">Try it yourself</w:t>
      </w:r>
    </w:p>
    <w:p>
      <w:pPr>
        <w:spacing w:after="140"/>
      </w:pPr>
      <w:r>
        <w:t xml:space="preserve">This matches the “Your turn” exercise at the end of 08_intro_regression.do:</w:t>
      </w:r>
    </w:p>
    <w:p>
      <w:pPr>
        <w:pStyle w:val="ListParagraph"/>
        <w:numPr>
          <w:ilvl w:val="0"/>
          <w:numId w:val="2"/>
        </w:numPr>
        <w:spacing w:after="80"/>
      </w:pPr>
      <w:r>
        <w:t xml:space="preserve">Pick either the regress satisfaction model or the logit/logistic voted_last_election model.</w:t>
      </w:r>
    </w:p>
    <w:p>
      <w:pPr>
        <w:pStyle w:val="ListParagraph"/>
        <w:numPr>
          <w:ilvl w:val="0"/>
          <w:numId w:val="2"/>
        </w:numPr>
        <w:spacing w:after="80"/>
      </w:pPr>
      <w:r>
        <w:t xml:space="preserve">Add one more predictor from the dataset (for example female, or one of trust_gov / trust_media / trust_science / trust_local) to that model's command line and re-run it.</w:t>
      </w:r>
    </w:p>
    <w:p>
      <w:pPr>
        <w:pStyle w:val="ListParagraph"/>
        <w:numPr>
          <w:ilvl w:val="0"/>
          <w:numId w:val="2"/>
        </w:numPr>
        <w:spacing w:after="80"/>
      </w:pPr>
      <w:r>
        <w:t xml:space="preserve">Write a comment interpreting the new predictor's coefficient in plain English — remember to say whether you're describing log-odds (logit) or an odds ratio (logistic) if you used the binary-outcome model.</w:t>
      </w:r>
    </w:p>
    <w:p>
      <w:pPr>
        <w:pStyle w:val="Heading1"/>
        <w:spacing w:after="150" w:before="300"/>
      </w:pPr>
      <w:r>
        <w:t xml:space="preserve">Sources &amp; further reading</w:t>
      </w:r>
    </w:p>
    <w:p>
      <w:pPr>
        <w:pStyle w:val="ListParagraph"/>
        <w:numPr>
          <w:ilvl w:val="0"/>
          <w:numId w:val="2"/>
        </w:numPr>
        <w:spacing w:after="80"/>
      </w:pPr>
      <w:r>
        <w:t xml:space="preserve">StataCorp, Stata 18 [R] regress — Linear regression, in the Stata 18 PDF documentation set.</w:t>
      </w:r>
    </w:p>
    <w:p>
      <w:pPr>
        <w:pStyle w:val="ListParagraph"/>
        <w:numPr>
          <w:ilvl w:val="0"/>
          <w:numId w:val="2"/>
        </w:numPr>
        <w:spacing w:after="80"/>
      </w:pPr>
      <w:r>
        <w:t xml:space="preserve">StataCorp, Stata 18 [R] logistic — Logistic regression, reporting odds ratios, in the Stata 18 PDF documentation set.</w:t>
      </w:r>
    </w:p>
    <w:p>
      <w:pPr>
        <w:pStyle w:val="ListParagraph"/>
        <w:numPr>
          <w:ilvl w:val="0"/>
          <w:numId w:val="2"/>
        </w:numPr>
        <w:spacing w:after="80"/>
      </w:pPr>
      <w:r>
        <w:t xml:space="preserve">StataCorp, Stata 18 [R] margins — Marginal means, predictive margins, and marginal effects.</w:t>
      </w:r>
    </w:p>
    <w:p>
      <w:pPr>
        <w:pStyle w:val="ListParagraph"/>
        <w:numPr>
          <w:ilvl w:val="0"/>
          <w:numId w:val="2"/>
        </w:numPr>
        <w:spacing w:after="80"/>
      </w:pPr>
      <w:r>
        <w:t xml:space="preserve">UCLA Advanced Research Computing (OARC), Stata Data Analysis Examples: Logistic Regression, and Stata annotated output for regress — https://stats.oarc.ucla.edu/stata/</w:t>
      </w:r>
    </w:p>
    <w:p>
      <w:pPr>
        <w:pStyle w:val="ListParagraph"/>
        <w:numPr>
          <w:ilvl w:val="0"/>
          <w:numId w:val="2"/>
        </w:numPr>
        <w:spacing w:after="80"/>
      </w:pPr>
      <w:r>
        <w:t xml:space="preserve">Statalist (statalist.org) — the Stata user community forum; useful for questions on factor-variable base categories, margins, and estat vif.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2026-07-30T15:28:43.588Z</dcterms:created>
  <dcterms:modified xsi:type="dcterms:W3CDTF">2026-07-30T15:28:43.588Z</dcterms:modified>
</cp:coreProperties>
</file>

<file path=docProps/custom.xml><?xml version="1.0" encoding="utf-8"?>
<Properties xmlns="http://schemas.openxmlformats.org/officeDocument/2006/custom-properties" xmlns:vt="http://schemas.openxmlformats.org/officeDocument/2006/docPropsVTypes"/>
</file>