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Lesson 10 Companion</w:t>
      </w:r>
    </w:p>
    <w:p>
      <w:pPr>
        <w:spacing w:after="60"/>
      </w:pPr>
      <w:r>
        <w:rPr>
          <w:color w:val="555555"/>
          <w:sz w:val="28"/>
          <w:szCs w:val="28"/>
        </w:rPr>
        <w:t xml:space="preserve">Modeling Ordinal &amp; Categorical Outcomes</w:t>
      </w:r>
    </w:p>
    <w:p>
      <w:pPr>
        <w:spacing w:after="300"/>
      </w:pPr>
      <w:r>
        <w:rPr>
          <w:i/>
          <w:iCs/>
          <w:color w:val="777777"/>
          <w:sz w:val="20"/>
          <w:szCs w:val="20"/>
        </w:rPr>
        <w:t xml:space="preserve">Stata Curriculum for Survey Researchers — Lesson 10 of 14</w:t>
      </w:r>
    </w:p>
    <w:p>
      <w:pPr>
        <w:pStyle w:val="Heading1"/>
        <w:spacing w:after="150" w:before="300"/>
      </w:pPr>
      <w:r>
        <w:t xml:space="preserve">What this lesson is about</w:t>
      </w:r>
    </w:p>
    <w:p>
      <w:pPr>
        <w:spacing w:after="160"/>
      </w:pPr>
      <w:r>
        <w:t xml:space="preserve">Up to this point you have modeled outcomes that were either continuous (satisfaction, in earlier lessons) or binary (voted_last_election). This lesson tackles a very common third case in survey research: an ordinal outcome — a variable with a small number of categories that have a clear ORDER, but where the "distance" between categories is not necessarily equal. Our example is policy_support, coded 1 through 4: Strongly oppose, Somewhat oppose, Somewhat support, Strongly support.</w:t>
      </w:r>
    </w:p>
    <w:p>
      <w:pPr>
        <w:spacing w:after="160"/>
      </w:pPr>
      <w:r>
        <w:t xml:space="preserve">The temptation for a Stata newcomer is to treat policy_support like any other number and run it straight through `regress`. This companion explains why that shortcut is flawed, what the correct tool (`ologit`) actually assumes and estimates, how to check whether that assumption holds, and when you would reach for a different tool (`mlogit`) instead.</w:t>
      </w:r>
    </w:p>
    <w:p>
      <w:pPr>
        <w:pStyle w:val="Heading1"/>
        <w:spacing w:after="150" w:before="300"/>
      </w:pPr>
      <w:r>
        <w:t xml:space="preserve">The concept in plain language</w:t>
      </w:r>
    </w:p>
    <w:p>
      <w:pPr>
        <w:spacing w:after="160"/>
      </w:pPr>
      <w:r>
        <w:t xml:space="preserve">Imagine the four policy_support categories are visible "buckets" that sit on top of an invisible, continuous scale of true underlying support — think of it as a dial that could in principle read anywhere from very opposed to very supportive. We never observe the dial directly; we only observe which bucket a respondent's hidden dial position falls into. Ordinal logistic regression (`ologit`) is built exactly around this idea: it estimates how predictors shift a person's position on that invisible dial, and it separately estimates where the boundaries ("cutpoints") between the four buckets fall.</w:t>
      </w:r>
    </w:p>
    <w:p>
      <w:pPr>
        <w:spacing w:after="160"/>
      </w:pPr>
      <w:r>
        <w:t xml:space="preserve">This is different from ordinary least squares (OLS), which would treat 1, 2, 3, and 4 as if they were literally equally-spaced amounts of support — as if the psychological jump from "Strongly oppose" to "Somewhat oppose" were guaranteed to be the same size as the jump from "Somewhat support" to "Strongly support." That assumption is rarely justified for an attitude scale, and OLS can also generate predicted values like 4.6 or -0.3 that don't correspond to any real category — a strong tell that the model doesn't match the shape of the data.</w:t>
      </w:r>
    </w:p>
    <w:p>
      <w:pPr>
        <w:pStyle w:val="Heading1"/>
        <w:spacing w:after="150" w:before="300"/>
      </w:pPr>
      <w:r>
        <w:t xml:space="preserve">Why this matters for survey research</w:t>
      </w:r>
    </w:p>
    <w:p>
      <w:pPr>
        <w:pStyle w:val="ListParagraph"/>
        <w:numPr>
          <w:ilvl w:val="0"/>
          <w:numId w:val="1"/>
        </w:numPr>
        <w:spacing w:after="80"/>
      </w:pPr>
      <w:r>
        <w:t xml:space="preserve">Attitude and opinion items — approval scales, Likert-type agreement items, support/oppose questions — are the bread and butter of survey research, and almost all of them are ordinal, not continuous or binary.</w:t>
      </w:r>
    </w:p>
    <w:p>
      <w:pPr>
        <w:pStyle w:val="ListParagraph"/>
        <w:numPr>
          <w:ilvl w:val="0"/>
          <w:numId w:val="1"/>
        </w:numPr>
        <w:spacing w:after="80"/>
      </w:pPr>
      <w:r>
        <w:t xml:space="preserve">Reporting a coefficient from an OLS model fit to an ordinal outcome can mislead stakeholders into thinking you have estimated something on a meaningful numeric scale (like dollars or years), when you have not.</w:t>
      </w:r>
    </w:p>
    <w:p>
      <w:pPr>
        <w:pStyle w:val="ListParagraph"/>
        <w:numPr>
          <w:ilvl w:val="0"/>
          <w:numId w:val="1"/>
        </w:numPr>
        <w:spacing w:after="80"/>
      </w:pPr>
      <w:r>
        <w:t xml:space="preserve">Ordinal models give you tools — predicted probabilities per category, cutpoints — that map much more naturally onto the way survey results are usually communicated ("we estimate 38% of respondents strongly support the policy").</w:t>
      </w:r>
    </w:p>
    <w:p>
      <w:pPr>
        <w:pStyle w:val="ListParagraph"/>
        <w:numPr>
          <w:ilvl w:val="0"/>
          <w:numId w:val="1"/>
        </w:numPr>
        <w:spacing w:after="80"/>
      </w:pPr>
      <w:r>
        <w:t xml:space="preserve">Checking the proportional-odds assumption, rather than assuming it, protects you from reporting a single "the effect of trust in government" when the real effect actually differs depending on which part of the support scale you're looking at.</w:t>
      </w:r>
    </w:p>
    <w:p>
      <w:pPr>
        <w:pStyle w:val="Heading1"/>
        <w:spacing w:after="150" w:before="300"/>
      </w:pPr>
      <w:r>
        <w:t xml:space="preserve">Annotated walkthrough</w:t>
      </w:r>
    </w:p>
    <w:p>
      <w:pPr>
        <w:pStyle w:val="Heading2"/>
        <w:spacing w:after="120" w:before="240"/>
      </w:pPr>
      <w:r>
        <w:t xml:space="preserve">1. The wrong shortcut: OLS on an ordinal outcome</w:t>
      </w:r>
    </w:p>
    <w:p>
      <w:pPr>
        <w:spacing w:after="160"/>
      </w:pPr>
      <w:r>
        <w:t xml:space="preserve">It is common — and flawed — to run `regress policy_support trust_gov trust_media trust_science trust_local age i.educ_raw` directly. The coefficients from that model imply equally-spaced categories and can produce impossible predicted values. We do not fit this model in the do-file; it is discussed as a cautionary example only.</w:t>
      </w:r>
    </w:p>
    <w:p>
      <w:pPr>
        <w:pStyle w:val="Heading2"/>
        <w:spacing w:after="120" w:before="240"/>
      </w:pPr>
      <w:r>
        <w:t xml:space="preserve">2. The correct model: `ologit`</w:t>
      </w:r>
    </w:p>
    <w:p>
      <w:pPr>
        <w:shd w:fill="F2F2F2" w:val="clear"/>
        <w:spacing w:after="100"/>
      </w:pPr>
      <w:r>
        <w:rPr>
          <w:rFonts w:ascii="Consolas" w:cs="Consolas" w:eastAsia="Consolas" w:hAnsi="Consolas"/>
          <w:sz w:val="20"/>
          <w:szCs w:val="20"/>
        </w:rPr>
        <w:t xml:space="preserve">ologit policy_support trust_gov trust_media trust_science trust_local age i.educ_raw</w:t>
      </w:r>
    </w:p>
    <w:p>
      <w:pPr>
        <w:spacing w:after="160"/>
      </w:pPr>
      <w:r>
        <w:t xml:space="preserve">Illustrative output (fabricated for teaching purposes — not a real result from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shd w:fill="DDEBF7" w:val="clear"/>
          </w:tcPr>
          <w:p>
            <w:r>
              <w:rPr>
                <w:b/>
                <w:bCs/>
              </w:rPr>
              <w:t xml:space="preserve">Variable</w:t>
            </w:r>
          </w:p>
        </w:tc>
        <w:tc>
          <w:tcPr>
            <w:tcW w:type="dxa" w:w="2000"/>
            <w:shd w:fill="DDEBF7" w:val="clear"/>
          </w:tcPr>
          <w:p>
            <w:r>
              <w:rPr>
                <w:b/>
                <w:bCs/>
              </w:rPr>
              <w:t xml:space="preserve">Coef.</w:t>
            </w:r>
          </w:p>
        </w:tc>
        <w:tc>
          <w:tcPr>
            <w:tcW w:type="dxa" w:w="2000"/>
            <w:shd w:fill="DDEBF7" w:val="clear"/>
          </w:tcPr>
          <w:p>
            <w:r>
              <w:rPr>
                <w:b/>
                <w:bCs/>
              </w:rPr>
              <w:t xml:space="preserve">Std. Err.</w:t>
            </w:r>
          </w:p>
        </w:tc>
        <w:tc>
          <w:tcPr>
            <w:tcW w:type="dxa" w:w="1960"/>
            <w:shd w:fill="DDEBF7" w:val="clear"/>
          </w:tcPr>
          <w:p>
            <w:r>
              <w:rPr>
                <w:b/>
                <w:bCs/>
              </w:rPr>
              <w:t xml:space="preserve">P&gt;|z|</w:t>
            </w:r>
          </w:p>
        </w:tc>
      </w:tr>
      <w:tr>
        <w:tc>
          <w:tcPr>
            <w:tcW w:type="dxa" w:w="3400"/>
          </w:tcPr>
          <w:p>
            <w:r>
              <w:t xml:space="preserve">trust_gov</w:t>
            </w:r>
          </w:p>
        </w:tc>
        <w:tc>
          <w:tcPr>
            <w:tcW w:type="dxa" w:w="2000"/>
          </w:tcPr>
          <w:p>
            <w:r>
              <w:t xml:space="preserve">0.284</w:t>
            </w:r>
          </w:p>
        </w:tc>
        <w:tc>
          <w:tcPr>
            <w:tcW w:type="dxa" w:w="2000"/>
          </w:tcPr>
          <w:p>
            <w:r>
              <w:t xml:space="preserve">0.051</w:t>
            </w:r>
          </w:p>
        </w:tc>
        <w:tc>
          <w:tcPr>
            <w:tcW w:type="dxa" w:w="1960"/>
          </w:tcPr>
          <w:p>
            <w:r>
              <w:t xml:space="preserve">0.000</w:t>
            </w:r>
          </w:p>
        </w:tc>
      </w:tr>
      <w:tr>
        <w:tc>
          <w:tcPr>
            <w:tcW w:type="dxa" w:w="3400"/>
          </w:tcPr>
          <w:p>
            <w:r>
              <w:t xml:space="preserve">trust_media</w:t>
            </w:r>
          </w:p>
        </w:tc>
        <w:tc>
          <w:tcPr>
            <w:tcW w:type="dxa" w:w="2000"/>
          </w:tcPr>
          <w:p>
            <w:r>
              <w:t xml:space="preserve">0.061</w:t>
            </w:r>
          </w:p>
        </w:tc>
        <w:tc>
          <w:tcPr>
            <w:tcW w:type="dxa" w:w="2000"/>
          </w:tcPr>
          <w:p>
            <w:r>
              <w:t xml:space="preserve">0.049</w:t>
            </w:r>
          </w:p>
        </w:tc>
        <w:tc>
          <w:tcPr>
            <w:tcW w:type="dxa" w:w="1960"/>
          </w:tcPr>
          <w:p>
            <w:r>
              <w:t xml:space="preserve">0.213</w:t>
            </w:r>
          </w:p>
        </w:tc>
      </w:tr>
      <w:tr>
        <w:tc>
          <w:tcPr>
            <w:tcW w:type="dxa" w:w="3400"/>
          </w:tcPr>
          <w:p>
            <w:r>
              <w:t xml:space="preserve">trust_science</w:t>
            </w:r>
          </w:p>
        </w:tc>
        <w:tc>
          <w:tcPr>
            <w:tcW w:type="dxa" w:w="2000"/>
          </w:tcPr>
          <w:p>
            <w:r>
              <w:t xml:space="preserve">0.412</w:t>
            </w:r>
          </w:p>
        </w:tc>
        <w:tc>
          <w:tcPr>
            <w:tcW w:type="dxa" w:w="2000"/>
          </w:tcPr>
          <w:p>
            <w:r>
              <w:t xml:space="preserve">0.055</w:t>
            </w:r>
          </w:p>
        </w:tc>
        <w:tc>
          <w:tcPr>
            <w:tcW w:type="dxa" w:w="1960"/>
          </w:tcPr>
          <w:p>
            <w:r>
              <w:t xml:space="preserve">0.000</w:t>
            </w:r>
          </w:p>
        </w:tc>
      </w:tr>
      <w:tr>
        <w:tc>
          <w:tcPr>
            <w:tcW w:type="dxa" w:w="3400"/>
          </w:tcPr>
          <w:p>
            <w:r>
              <w:t xml:space="preserve">trust_local</w:t>
            </w:r>
          </w:p>
        </w:tc>
        <w:tc>
          <w:tcPr>
            <w:tcW w:type="dxa" w:w="2000"/>
          </w:tcPr>
          <w:p>
            <w:r>
              <w:t xml:space="preserve">0.118</w:t>
            </w:r>
          </w:p>
        </w:tc>
        <w:tc>
          <w:tcPr>
            <w:tcW w:type="dxa" w:w="2000"/>
          </w:tcPr>
          <w:p>
            <w:r>
              <w:t xml:space="preserve">0.047</w:t>
            </w:r>
          </w:p>
        </w:tc>
        <w:tc>
          <w:tcPr>
            <w:tcW w:type="dxa" w:w="1960"/>
          </w:tcPr>
          <w:p>
            <w:r>
              <w:t xml:space="preserve">0.012</w:t>
            </w:r>
          </w:p>
        </w:tc>
      </w:tr>
      <w:tr>
        <w:tc>
          <w:tcPr>
            <w:tcW w:type="dxa" w:w="3400"/>
          </w:tcPr>
          <w:p>
            <w:r>
              <w:t xml:space="preserve">age</w:t>
            </w:r>
          </w:p>
        </w:tc>
        <w:tc>
          <w:tcPr>
            <w:tcW w:type="dxa" w:w="2000"/>
          </w:tcPr>
          <w:p>
            <w:r>
              <w:t xml:space="preserve">-0.006</w:t>
            </w:r>
          </w:p>
        </w:tc>
        <w:tc>
          <w:tcPr>
            <w:tcW w:type="dxa" w:w="2000"/>
          </w:tcPr>
          <w:p>
            <w:r>
              <w:t xml:space="preserve">0.003</w:t>
            </w:r>
          </w:p>
        </w:tc>
        <w:tc>
          <w:tcPr>
            <w:tcW w:type="dxa" w:w="1960"/>
          </w:tcPr>
          <w:p>
            <w:r>
              <w:t xml:space="preserve">0.041</w:t>
            </w:r>
          </w:p>
        </w:tc>
      </w:tr>
      <w:tr>
        <w:tc>
          <w:tcPr>
            <w:tcW w:type="dxa" w:w="3400"/>
          </w:tcPr>
          <w:p>
            <w:r>
              <w:t xml:space="preserve">2.educ_raw</w:t>
            </w:r>
          </w:p>
        </w:tc>
        <w:tc>
          <w:tcPr>
            <w:tcW w:type="dxa" w:w="2000"/>
          </w:tcPr>
          <w:p>
            <w:r>
              <w:t xml:space="preserve">0.194</w:t>
            </w:r>
          </w:p>
        </w:tc>
        <w:tc>
          <w:tcPr>
            <w:tcW w:type="dxa" w:w="2000"/>
          </w:tcPr>
          <w:p>
            <w:r>
              <w:t xml:space="preserve">0.121</w:t>
            </w:r>
          </w:p>
        </w:tc>
        <w:tc>
          <w:tcPr>
            <w:tcW w:type="dxa" w:w="1960"/>
          </w:tcPr>
          <w:p>
            <w:r>
              <w:t xml:space="preserve">0.109</w:t>
            </w:r>
          </w:p>
        </w:tc>
      </w:tr>
      <w:tr>
        <w:tc>
          <w:tcPr>
            <w:tcW w:type="dxa" w:w="3400"/>
          </w:tcPr>
          <w:p>
            <w:r>
              <w:t xml:space="preserve">/cut1</w:t>
            </w:r>
          </w:p>
        </w:tc>
        <w:tc>
          <w:tcPr>
            <w:tcW w:type="dxa" w:w="2000"/>
          </w:tcPr>
          <w:p>
            <w:r>
              <w:t xml:space="preserve">-0.822</w:t>
            </w:r>
          </w:p>
        </w:tc>
        <w:tc>
          <w:tcPr>
            <w:tcW w:type="dxa" w:w="2000"/>
          </w:tcPr>
          <w:p>
            <w:r>
              <w:t xml:space="preserve">0.201</w:t>
            </w:r>
          </w:p>
        </w:tc>
        <w:tc>
          <w:tcPr>
            <w:tcW w:type="dxa" w:w="1960"/>
          </w:tcPr>
          <w:p>
            <w:r>
              <w:t xml:space="preserve">—</w:t>
            </w:r>
          </w:p>
        </w:tc>
      </w:tr>
      <w:tr>
        <w:tc>
          <w:tcPr>
            <w:tcW w:type="dxa" w:w="3400"/>
          </w:tcPr>
          <w:p>
            <w:r>
              <w:t xml:space="preserve">/cut2</w:t>
            </w:r>
          </w:p>
        </w:tc>
        <w:tc>
          <w:tcPr>
            <w:tcW w:type="dxa" w:w="2000"/>
          </w:tcPr>
          <w:p>
            <w:r>
              <w:t xml:space="preserve">0.415</w:t>
            </w:r>
          </w:p>
        </w:tc>
        <w:tc>
          <w:tcPr>
            <w:tcW w:type="dxa" w:w="2000"/>
          </w:tcPr>
          <w:p>
            <w:r>
              <w:t xml:space="preserve">0.198</w:t>
            </w:r>
          </w:p>
        </w:tc>
        <w:tc>
          <w:tcPr>
            <w:tcW w:type="dxa" w:w="1960"/>
          </w:tcPr>
          <w:p>
            <w:r>
              <w:t xml:space="preserve">—</w:t>
            </w:r>
          </w:p>
        </w:tc>
      </w:tr>
      <w:tr>
        <w:tc>
          <w:tcPr>
            <w:tcW w:type="dxa" w:w="3400"/>
          </w:tcPr>
          <w:p>
            <w:r>
              <w:t xml:space="preserve">/cut3</w:t>
            </w:r>
          </w:p>
        </w:tc>
        <w:tc>
          <w:tcPr>
            <w:tcW w:type="dxa" w:w="2000"/>
          </w:tcPr>
          <w:p>
            <w:r>
              <w:t xml:space="preserve">1.960</w:t>
            </w:r>
          </w:p>
        </w:tc>
        <w:tc>
          <w:tcPr>
            <w:tcW w:type="dxa" w:w="2000"/>
          </w:tcPr>
          <w:p>
            <w:r>
              <w:t xml:space="preserve">0.210</w:t>
            </w:r>
          </w:p>
        </w:tc>
        <w:tc>
          <w:tcPr>
            <w:tcW w:type="dxa" w:w="1960"/>
          </w:tcPr>
          <w:p>
            <w:r>
              <w:t xml:space="preserve">—</w:t>
            </w:r>
          </w:p>
        </w:tc>
      </w:tr>
    </w:tbl>
    <w:p>
      <w:pPr>
        <w:spacing w:after="160"/>
      </w:pPr>
      <w:r>
        <w:t xml:space="preserve"/>
      </w:r>
    </w:p>
    <w:p>
      <w:pPr>
        <w:spacing w:after="160"/>
      </w:pPr>
      <w:r>
        <w:t xml:space="preserve">Reading it: trust_gov and trust_science have positive, statistically significant coefficients — higher trust in each is associated with higher odds of falling into a more-supportive category of policy_support, holding the other predictors fixed. The three cutpoints (/cut1 &lt; /cut2 &lt; /cut3) are correctly ordered, which is a basic sanity check that the model converged sensibly; their values mark the boundaries on the model's latent support scale, and you generally will not interpret their size directly the way you would a predictor's coefficient.</w:t>
      </w:r>
    </w:p>
    <w:p>
      <w:pPr>
        <w:pStyle w:val="Heading2"/>
        <w:spacing w:after="120" w:before="240"/>
      </w:pPr>
      <w:r>
        <w:t xml:space="preserve">3. Checking the proportional-odds assumption</w:t>
      </w:r>
    </w:p>
    <w:p>
      <w:pPr>
        <w:spacing w:after="160"/>
      </w:pPr>
      <w:r>
        <w:t xml:space="preserve">`ologit` assumes each predictor's effect is the SAME across every category boundary (the "parallel lines" or proportional-odds assumption). Check it with the user-written `omodel` command, installed from SSC:</w:t>
      </w:r>
    </w:p>
    <w:p>
      <w:pPr>
        <w:shd w:fill="F2F2F2" w:val="clear"/>
        <w:spacing w:after="100"/>
      </w:pPr>
      <w:r>
        <w:rPr>
          <w:rFonts w:ascii="Consolas" w:cs="Consolas" w:eastAsia="Consolas" w:hAnsi="Consolas"/>
          <w:sz w:val="20"/>
          <w:szCs w:val="20"/>
        </w:rPr>
        <w:t xml:space="preserve">ssc install omodel</w:t>
      </w:r>
    </w:p>
    <w:p>
      <w:pPr>
        <w:shd w:fill="F2F2F2" w:val="clear"/>
        <w:spacing w:after="100"/>
      </w:pPr>
      <w:r>
        <w:rPr>
          <w:rFonts w:ascii="Consolas" w:cs="Consolas" w:eastAsia="Consolas" w:hAnsi="Consolas"/>
          <w:sz w:val="20"/>
          <w:szCs w:val="20"/>
        </w:rPr>
        <w:t xml:space="preserve">omodel ologit policy_support trust_gov trust_media trust_science trust_local age i.educ_raw</w:t>
      </w:r>
    </w:p>
    <w:p>
      <w:pPr>
        <w:spacing w:after="160"/>
      </w:pPr>
      <w:r>
        <w:t xml:space="preserve">`omodel` reports a likelihood-ratio test comparing the constrained (parallel-lines) model to a less restrictive alternative. A small p-value (conventionally below 0.05) is evidence the assumption does not hold. If that happens, one common next step — not covered in depth in this lesson — is a generalized ordered logit model, fit with the user-written `gologit2` command (also from SSC), which relaxes the assumption for some or all predictors.</w:t>
      </w:r>
    </w:p>
    <w:p>
      <w:pPr>
        <w:pStyle w:val="Heading2"/>
        <w:spacing w:after="120" w:before="240"/>
      </w:pPr>
      <w:r>
        <w:t xml:space="preserve">4. Treating policy_support as unordered: `mlogit`</w:t>
      </w:r>
    </w:p>
    <w:p>
      <w:pPr>
        <w:shd w:fill="F2F2F2" w:val="clear"/>
        <w:spacing w:after="100"/>
      </w:pPr>
      <w:r>
        <w:rPr>
          <w:rFonts w:ascii="Consolas" w:cs="Consolas" w:eastAsia="Consolas" w:hAnsi="Consolas"/>
          <w:sz w:val="20"/>
          <w:szCs w:val="20"/>
        </w:rPr>
        <w:t xml:space="preserve">mlogit policy_support trust_gov age i.educ_raw, baseoutcome(1)</w:t>
      </w:r>
    </w:p>
    <w:p>
      <w:pPr>
        <w:spacing w:after="160"/>
      </w:pPr>
      <w:r>
        <w:t xml:space="preserve">Multinomial logistic regression estimates a completely separate set of coefficients for each category relative to a baseline (here, category 1). This lesson fits it mainly so you can see the mechanics and contrast it with `ologit` — it is what you would use if policy_support's categories had no natural order (imagine instead "which of four unrelated policy options do you support most"). Because policy_support IS ordered, `ologit` remains the better real choice: it uses the ordering information to estimate fewer parameters more efficiently.</w:t>
      </w:r>
    </w:p>
    <w:p>
      <w:pPr>
        <w:pStyle w:val="Heading2"/>
        <w:spacing w:after="120" w:before="240"/>
      </w:pPr>
      <w:r>
        <w:t xml:space="preserve">5. Predicted probabilities: `margins`</w:t>
      </w:r>
    </w:p>
    <w:p>
      <w:pPr>
        <w:shd w:fill="F2F2F2" w:val="clear"/>
        <w:spacing w:after="100"/>
      </w:pPr>
      <w:r>
        <w:rPr>
          <w:rFonts w:ascii="Consolas" w:cs="Consolas" w:eastAsia="Consolas" w:hAnsi="Consolas"/>
          <w:sz w:val="20"/>
          <w:szCs w:val="20"/>
        </w:rPr>
        <w:t xml:space="preserve">margins, predict(outcome(1)) atmeans</w:t>
      </w:r>
    </w:p>
    <w:p>
      <w:pPr>
        <w:spacing w:after="160"/>
      </w:pPr>
      <w:r>
        <w:t xml:space="preserve">Running this once per category (outcome(1) through outcome(4)) after `ologit` gives you the model's predicted probability of each policy_support category at average predictor values — often the clearest way to communicate results to a non-technical audience.</w:t>
      </w:r>
    </w:p>
    <w:p>
      <w:pPr>
        <w:pStyle w:val="Heading1"/>
        <w:spacing w:after="150" w:before="300"/>
      </w:pPr>
      <w:r>
        <w:t xml:space="preserve">Common pitfalls</w:t>
      </w:r>
    </w:p>
    <w:p>
      <w:pPr>
        <w:pStyle w:val="ListParagraph"/>
        <w:numPr>
          <w:ilvl w:val="0"/>
          <w:numId w:val="1"/>
        </w:numPr>
        <w:spacing w:after="80"/>
      </w:pPr>
      <w:r>
        <w:t xml:space="preserve">Running `regress` on an ordinal outcome and interpreting the coefficient as if it were on a meaningful numeric scale.</w:t>
      </w:r>
    </w:p>
    <w:p>
      <w:pPr>
        <w:pStyle w:val="ListParagraph"/>
        <w:numPr>
          <w:ilvl w:val="0"/>
          <w:numId w:val="1"/>
        </w:numPr>
        <w:spacing w:after="80"/>
      </w:pPr>
      <w:r>
        <w:t xml:space="preserve">Forgetting to check the parallel-lines assumption and reporting a single "effect" for a predictor whose relationship with the outcome actually differs across category boundaries.</w:t>
      </w:r>
    </w:p>
    <w:p>
      <w:pPr>
        <w:pStyle w:val="ListParagraph"/>
        <w:numPr>
          <w:ilvl w:val="0"/>
          <w:numId w:val="1"/>
        </w:numPr>
        <w:spacing w:after="80"/>
      </w:pPr>
      <w:r>
        <w:t xml:space="preserve">Confusing the /cut estimates for coefficients on a predictor — they are boundary locations on a latent scale, not effects of any variable in your model.</w:t>
      </w:r>
    </w:p>
    <w:p>
      <w:pPr>
        <w:pStyle w:val="ListParagraph"/>
        <w:numPr>
          <w:ilvl w:val="0"/>
          <w:numId w:val="1"/>
        </w:numPr>
        <w:spacing w:after="80"/>
      </w:pPr>
      <w:r>
        <w:t xml:space="preserve">Reaching for `mlogit` out of habit (because it feels more familiar or the syntax looks simpler) for an outcome that is genuinely ordered, and losing the statistical efficiency and interpretability that `ologit` provides.</w:t>
      </w:r>
    </w:p>
    <w:p>
      <w:pPr>
        <w:pStyle w:val="ListParagraph"/>
        <w:numPr>
          <w:ilvl w:val="0"/>
          <w:numId w:val="1"/>
        </w:numPr>
        <w:spacing w:after="80"/>
      </w:pPr>
      <w:r>
        <w:t xml:space="preserve">Forgetting that `omodel` and `gologit2` are user-written SSC packages, not part of base Stata — they must be installed with `ssc install` before use, and are not guaranteed to be present on every machine you work on.</w:t>
      </w:r>
    </w:p>
    <w:p>
      <w:pPr>
        <w:pStyle w:val="Heading1"/>
        <w:spacing w:after="150" w:before="300"/>
      </w:pPr>
      <w:r>
        <w:t xml:space="preserve">Try it yourself</w:t>
      </w:r>
    </w:p>
    <w:p>
      <w:pPr>
        <w:spacing w:after="160"/>
      </w:pPr>
      <w:r>
        <w:t xml:space="preserve">Matching the do-file's "Your turn" exercise:</w:t>
      </w:r>
    </w:p>
    <w:p>
      <w:pPr>
        <w:pStyle w:val="ListParagraph"/>
        <w:numPr>
          <w:ilvl w:val="0"/>
          <w:numId w:val="1"/>
        </w:numPr>
        <w:spacing w:after="80"/>
      </w:pPr>
      <w:r>
        <w:t xml:space="preserve">Refit the ologit model from the lesson, adding one additional predictor from the dataset (for example female or income_k).</w:t>
      </w:r>
    </w:p>
    <w:p>
      <w:pPr>
        <w:pStyle w:val="ListParagraph"/>
        <w:numPr>
          <w:ilvl w:val="0"/>
          <w:numId w:val="1"/>
        </w:numPr>
        <w:spacing w:after="80"/>
      </w:pPr>
      <w:r>
        <w:t xml:space="preserve">Interpret one cutpoint from your new model's output: is it larger or smaller than the corresponding cutpoint in the original model, and what might that suggest?</w:t>
      </w:r>
    </w:p>
    <w:p>
      <w:pPr>
        <w:pStyle w:val="ListParagraph"/>
        <w:numPr>
          <w:ilvl w:val="0"/>
          <w:numId w:val="1"/>
        </w:numPr>
        <w:spacing w:after="80"/>
      </w:pPr>
      <w:r>
        <w:t xml:space="preserve">Write one sentence on whether you think the proportional-odds assumption is more or less likely to hold with your new predictor added, and why.</w:t>
      </w:r>
    </w:p>
    <w:p>
      <w:pPr>
        <w:pStyle w:val="Heading1"/>
        <w:spacing w:after="150" w:before="300"/>
      </w:pPr>
      <w:r>
        <w:t xml:space="preserve">Sources &amp; further reading</w:t>
      </w:r>
    </w:p>
    <w:p>
      <w:pPr>
        <w:spacing w:after="160"/>
      </w:pPr>
      <w:r>
        <w:rPr>
          <w:i/>
          <w:iCs/>
        </w:rPr>
        <w:t xml:space="preserve">StataCorp, "ologit — Ordered logistic regression," Stata 18 Reference Manual [R], StataCorp LLC.</w:t>
      </w:r>
    </w:p>
    <w:p>
      <w:pPr>
        <w:spacing w:after="160"/>
      </w:pPr>
      <w:r>
        <w:rPr>
          <w:i/>
          <w:iCs/>
        </w:rPr>
        <w:t xml:space="preserve">StataCorp, "mlogit — Multinomial (polytomous) logistic regression," Stata 18 Reference Manual [R], StataCorp LLC.</w:t>
      </w:r>
    </w:p>
    <w:p>
      <w:pPr>
        <w:spacing w:after="160"/>
      </w:pPr>
      <w:r>
        <w:rPr>
          <w:i/>
          <w:iCs/>
        </w:rPr>
        <w:t xml:space="preserve">UCLA Advanced Research Computing, Statistical Methods and Data Analytics (formerly IDRE), "Ordinal Logistic Regression | Stata Data Analysis Examples."</w:t>
      </w:r>
    </w:p>
    <w:p>
      <w:pPr>
        <w:spacing w:after="160"/>
      </w:pPr>
      <w:r>
        <w:rPr>
          <w:i/>
          <w:iCs/>
        </w:rPr>
        <w:t xml:space="preserve">UCLA Advanced Research Computing, Statistical Methods and Data Analytics (formerly IDRE), "Multinomial Logistic Regression | Stata Data Analysis Examples."</w:t>
      </w:r>
    </w:p>
    <w:p>
      <w:pPr>
        <w:spacing w:after="160"/>
      </w:pPr>
      <w:r>
        <w:rPr>
          <w:i/>
          <w:iCs/>
        </w:rPr>
        <w:t xml:space="preserve">Statalist (the Stata user forum, statalist.org) — search for "omodel," "gologit2," and "proportional odds assumption" for community discussion and worked examples.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2026-07-30T15:26:21.276Z</dcterms:created>
  <dcterms:modified xsi:type="dcterms:W3CDTF">2026-07-30T15:26:21.276Z</dcterms:modified>
</cp:coreProperties>
</file>

<file path=docProps/custom.xml><?xml version="1.0" encoding="utf-8"?>
<Properties xmlns="http://schemas.openxmlformats.org/officeDocument/2006/custom-properties" xmlns:vt="http://schemas.openxmlformats.org/officeDocument/2006/docPropsVTypes"/>
</file>