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Lesson 11 Companion</w:t>
      </w:r>
    </w:p>
    <w:p>
      <w:pPr>
        <w:spacing w:after="60"/>
      </w:pPr>
      <w:r>
        <w:rPr>
          <w:color w:val="555555"/>
          <w:sz w:val="28"/>
          <w:szCs w:val="28"/>
        </w:rPr>
        <w:t xml:space="preserve">Dominance Analysis for Ordinal Outcomes</w:t>
      </w:r>
    </w:p>
    <w:p>
      <w:pPr>
        <w:spacing w:after="300"/>
      </w:pPr>
      <w:r>
        <w:rPr>
          <w:i/>
          <w:iCs/>
          <w:color w:val="777777"/>
          <w:sz w:val="20"/>
          <w:szCs w:val="20"/>
        </w:rPr>
        <w:t xml:space="preserve">Stata Curriculum for Survey Researchers — Lesson 11 of 14</w:t>
      </w:r>
    </w:p>
    <w:p>
      <w:pPr>
        <w:pStyle w:val="Heading1"/>
        <w:spacing w:after="150" w:before="300"/>
      </w:pPr>
      <w:r>
        <w:t xml:space="preserve">What this lesson is about</w:t>
      </w:r>
    </w:p>
    <w:p>
      <w:pPr>
        <w:spacing w:after="160"/>
      </w:pPr>
      <w:r>
        <w:t xml:space="preserve">In Lesson 10 you built an ordinal logistic regression predicting policy_support from four trust items (trust_gov, trust_media, trust_science, trust_local), plus age and education. A natural next question — one that comes up constantly in applied survey work — is: "Which of these predictors matters MOST?" This lesson introduces dominance analysis, a technique specifically designed to answer that question fairly when your predictors are correlated with one another, which the four trust items almost certainly are.</w:t>
      </w:r>
    </w:p>
    <w:p>
      <w:pPr>
        <w:pStyle w:val="Heading1"/>
        <w:spacing w:after="150" w:before="300"/>
      </w:pPr>
      <w:r>
        <w:t xml:space="preserve">The concept in plain language</w:t>
      </w:r>
    </w:p>
    <w:p>
      <w:pPr>
        <w:spacing w:after="160"/>
      </w:pPr>
      <w:r>
        <w:t xml:space="preserve">It is tempting to answer "which predictor matters most" by just looking at which one has the biggest coefficient in your regression output. That instinct is reasonable but can mislead you badly once predictors overlap in what they measure. A regression coefficient tells you the effect of one predictor HOLDING ALL THE OTHERS FIXED — it is a partial, model-specific answer, and it can shift in size (or even flip sign) depending on exactly which other predictors happen to be included alongside it.</w:t>
      </w:r>
    </w:p>
    <w:p>
      <w:pPr>
        <w:spacing w:after="160"/>
      </w:pPr>
      <w:r>
        <w:t xml:space="preserve">Dominance analysis takes a different, more thorough approach. For every predictor, it asks: across EVERY possible combination of the OTHER predictors it could be added to (every possible "subset model"), how much does adding this predictor improve the model's fit, on average? A predictor that reliably improves fit no matter what else is in the model is a genuinely important predictor; one that only looks important in the presence (or absence) of some other specific predictor is a much shakier candidate for "most important."</w:t>
      </w:r>
    </w:p>
    <w:p>
      <w:pPr>
        <w:spacing w:after="160"/>
      </w:pPr>
      <w:r>
        <w:t xml:space="preserve">This idea — averaging a contribution across every possible combination of other players — is the same logic behind the Shapley value from cooperative game theory, where each player's fair "payout" is their average marginal contribution across every possible coalition they could join. Dominance analysis applies that same fairness logic to regression predictors.</w:t>
      </w:r>
    </w:p>
    <w:p>
      <w:pPr>
        <w:pStyle w:val="Heading2"/>
        <w:spacing w:after="120" w:before="240"/>
      </w:pPr>
      <w:r>
        <w:t xml:space="preserve">Complete, conditional, and general dominance</w:t>
      </w:r>
    </w:p>
    <w:p>
      <w:pPr>
        <w:pStyle w:val="ListParagraph"/>
        <w:numPr>
          <w:ilvl w:val="0"/>
          <w:numId w:val="1"/>
        </w:numPr>
        <w:spacing w:after="80"/>
      </w:pPr>
      <w:r>
        <w:t xml:space="preserve">Complete dominance: predictor A completely dominates predictor B only if A improves fit more than B in EVERY single one of the subset models being compared, with zero exceptions. This is the strongest possible claim, and in real data it often simply does not hold — somewhere among dozens or hundreds of subsets, B will edge out A at least once.</w:t>
      </w:r>
    </w:p>
    <w:p>
      <w:pPr>
        <w:pStyle w:val="ListParagraph"/>
        <w:numPr>
          <w:ilvl w:val="0"/>
          <w:numId w:val="1"/>
        </w:numPr>
        <w:spacing w:after="80"/>
      </w:pPr>
      <w:r>
        <w:t xml:space="preserve">Conditional dominance: compares A and B's average contribution within each SUBSET SIZE separately (average contribution among one-predictor subsets, then among two-predictor subsets, and so on), then checks whether A beats B at every size.</w:t>
      </w:r>
    </w:p>
    <w:p>
      <w:pPr>
        <w:pStyle w:val="ListParagraph"/>
        <w:numPr>
          <w:ilvl w:val="0"/>
          <w:numId w:val="1"/>
        </w:numPr>
        <w:spacing w:after="80"/>
      </w:pPr>
      <w:r>
        <w:t xml:space="preserve">General dominance: averages a predictor's contribution across ALL subset sizes into one single number — the predictor's "dominance weight." This always produces a complete ranking, even when complete or conditional dominance is ambiguous, which is why general dominance weights are the standard headline number researchers report.</w:t>
      </w:r>
    </w:p>
    <w:p>
      <w:pPr>
        <w:spacing w:after="160"/>
      </w:pPr>
      <w:r>
        <w:t xml:space="preserve">A useful property: general dominance weights sum (up to rounding) to the fitted model's overall fit statistic. That means each predictor's weight divided by the total is directly interpretable as "this predictor's share of the model's total explanatory power."</w:t>
      </w:r>
    </w:p>
    <w:p>
      <w:pPr>
        <w:pStyle w:val="Heading1"/>
        <w:spacing w:after="150" w:before="300"/>
      </w:pPr>
      <w:r>
        <w:t xml:space="preserve">Why this matters for survey research</w:t>
      </w:r>
    </w:p>
    <w:p>
      <w:pPr>
        <w:pStyle w:val="ListParagraph"/>
        <w:numPr>
          <w:ilvl w:val="0"/>
          <w:numId w:val="1"/>
        </w:numPr>
        <w:spacing w:after="80"/>
      </w:pPr>
      <w:r>
        <w:t xml:space="preserve">Survey batteries frequently include several items that all tap a related underlying construct — trust in different institutions, satisfaction with different aspects of a program, agreement with several related statements — and those items are usually correlated with each other.</w:t>
      </w:r>
    </w:p>
    <w:p>
      <w:pPr>
        <w:pStyle w:val="ListParagraph"/>
        <w:numPr>
          <w:ilvl w:val="0"/>
          <w:numId w:val="1"/>
        </w:numPr>
        <w:spacing w:after="80"/>
      </w:pPr>
      <w:r>
        <w:t xml:space="preserve">Stakeholders often want a single, defensible answer to "which of these matters most," for example to prioritize which trust dimension a communications campaign should target.</w:t>
      </w:r>
    </w:p>
    <w:p>
      <w:pPr>
        <w:pStyle w:val="ListParagraph"/>
        <w:numPr>
          <w:ilvl w:val="0"/>
          <w:numId w:val="1"/>
        </w:numPr>
        <w:spacing w:after="80"/>
      </w:pPr>
      <w:r>
        <w:t xml:space="preserve">Coefficient-based rankings can be fragile and can change if you add or drop even one other correlated predictor; dominance weights are far more stable because they average across every such possibility.</w:t>
      </w:r>
    </w:p>
    <w:p>
      <w:pPr>
        <w:pStyle w:val="ListParagraph"/>
        <w:numPr>
          <w:ilvl w:val="0"/>
          <w:numId w:val="1"/>
        </w:numPr>
        <w:spacing w:after="80"/>
      </w:pPr>
      <w:r>
        <w:t xml:space="preserve">Reporting general dominance weights, rather than raw coefficients, gives you a much more defensible basis for a "relative importance" claim in a report or presentation.</w:t>
      </w:r>
    </w:p>
    <w:p>
      <w:pPr>
        <w:pStyle w:val="Heading1"/>
        <w:spacing w:after="150" w:before="300"/>
      </w:pPr>
      <w:r>
        <w:t xml:space="preserve">Annotated walkthrough</w:t>
      </w:r>
    </w:p>
    <w:p>
      <w:pPr>
        <w:pStyle w:val="Heading2"/>
        <w:spacing w:after="120" w:before="240"/>
      </w:pPr>
      <w:r>
        <w:t xml:space="preserve">1. Refit the ologit model and notice the correlation problem</w:t>
      </w:r>
    </w:p>
    <w:p>
      <w:pPr>
        <w:shd w:fill="F2F2F2" w:val="clear"/>
        <w:spacing w:after="100"/>
      </w:pPr>
      <w:r>
        <w:rPr>
          <w:rFonts w:ascii="Consolas" w:cs="Consolas" w:eastAsia="Consolas" w:hAnsi="Consolas"/>
          <w:sz w:val="20"/>
          <w:szCs w:val="20"/>
        </w:rPr>
        <w:t xml:space="preserve">correlate trust_gov trust_media trust_science trust_local</w:t>
      </w:r>
    </w:p>
    <w:p>
      <w:pPr>
        <w:shd w:fill="F2F2F2" w:val="clear"/>
        <w:spacing w:after="100"/>
      </w:pPr>
      <w:r>
        <w:rPr>
          <w:rFonts w:ascii="Consolas" w:cs="Consolas" w:eastAsia="Consolas" w:hAnsi="Consolas"/>
          <w:sz w:val="20"/>
          <w:szCs w:val="20"/>
        </w:rPr>
        <w:t xml:space="preserve">ologit policy_support trust_gov trust_media trust_science trust_local age i.educ_raw</w:t>
      </w:r>
    </w:p>
    <w:p>
      <w:pPr>
        <w:spacing w:after="160"/>
      </w:pPr>
      <w:r>
        <w:t xml:space="preserve">Before doing anything else, run `correlate` on the four trust items. If they are meaningfully correlated with each other (which is typical for related attitude items), that is your signal that eyeballing their ologit coefficients to rank "importance" is exactly the kind of comparison dominance analysis is built to handle more carefully.</w:t>
      </w:r>
    </w:p>
    <w:p>
      <w:pPr>
        <w:pStyle w:val="Heading2"/>
        <w:spacing w:after="120" w:before="240"/>
      </w:pPr>
      <w:r>
        <w:t xml:space="preserve">2. Installing and running `domin`</w:t>
      </w:r>
    </w:p>
    <w:p>
      <w:pPr>
        <w:shd w:fill="F2F2F2" w:val="clear"/>
        <w:spacing w:after="100"/>
      </w:pPr>
      <w:r>
        <w:rPr>
          <w:rFonts w:ascii="Consolas" w:cs="Consolas" w:eastAsia="Consolas" w:hAnsi="Consolas"/>
          <w:sz w:val="20"/>
          <w:szCs w:val="20"/>
        </w:rPr>
        <w:t xml:space="preserve">ssc install domin</w:t>
      </w:r>
    </w:p>
    <w:p>
      <w:pPr>
        <w:shd w:fill="F2F2F2" w:val="clear"/>
        <w:spacing w:after="100"/>
      </w:pPr>
      <w:r>
        <w:rPr>
          <w:rFonts w:ascii="Consolas" w:cs="Consolas" w:eastAsia="Consolas" w:hAnsi="Consolas"/>
          <w:sz w:val="20"/>
          <w:szCs w:val="20"/>
        </w:rPr>
        <w:t xml:space="preserve">domin policy_support trust_gov trust_media trust_science trust_local age i.educ_raw, reg(ologit) fitstat(e(r2_p))</w:t>
      </w:r>
    </w:p>
    <w:p>
      <w:pPr>
        <w:spacing w:after="160"/>
      </w:pPr>
      <w:r>
        <w:t xml:space="preserve">`domin` (written by Jeffrey N. Luchman) automates the dominance-analysis computation for essentially any Stata estimation command. You tell it which estimation command to use for every subset model via the reg() option (here, ologit), and which fit statistic to pull out of each fitted subset model via the fitstat() option — for ologit, McFadden's pseudo-R2, stored by Stata as e(r2_p), is a reasonable choice to decompose.</w:t>
      </w:r>
    </w:p>
    <w:p>
      <w:pPr>
        <w:spacing w:after="160"/>
      </w:pPr>
      <w:r>
        <w:rPr>
          <w:i/>
          <w:iCs/>
        </w:rPr>
        <w:t xml:space="preserve">A necessary caveat: domin's exact option names have evolved across package versions, and a related package, domme, offers overlapping functionality with somewhat different syntax for decomposing multiple fit statistics at once. Run `help domin` immediately after installing and confirm the option names match before you rely on any specific syntax — including the syntax shown in this lesson.</w:t>
      </w:r>
    </w:p>
    <w:p>
      <w:pPr>
        <w:pStyle w:val="Heading2"/>
        <w:spacing w:after="120" w:before="240"/>
      </w:pPr>
      <w:r>
        <w:t xml:space="preserve">3. Interpreting the (illustrative) output</w:t>
      </w:r>
    </w:p>
    <w:p>
      <w:pPr>
        <w:spacing w:after="160"/>
      </w:pPr>
      <w:r>
        <w:t xml:space="preserve">Illustrative output only — fabricated for teaching purposes, not a real result from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DDEBF7" w:val="clear"/>
          </w:tcPr>
          <w:p>
            <w:r>
              <w:rPr>
                <w:b/>
                <w:bCs/>
              </w:rPr>
              <w:t xml:space="preserve">Predictor</w:t>
            </w:r>
          </w:p>
        </w:tc>
        <w:tc>
          <w:tcPr>
            <w:tcW w:type="dxa" w:w="2500"/>
            <w:shd w:fill="DDEBF7" w:val="clear"/>
          </w:tcPr>
          <w:p>
            <w:r>
              <w:rPr>
                <w:b/>
                <w:bCs/>
              </w:rPr>
              <w:t xml:space="preserve">General dominance weight</w:t>
            </w:r>
          </w:p>
        </w:tc>
        <w:tc>
          <w:tcPr>
            <w:tcW w:type="dxa" w:w="2500"/>
            <w:shd w:fill="DDEBF7" w:val="clear"/>
          </w:tcPr>
          <w:p>
            <w:r>
              <w:rPr>
                <w:b/>
                <w:bCs/>
              </w:rPr>
              <w:t xml:space="preserve">% of total fit</w:t>
            </w:r>
          </w:p>
        </w:tc>
      </w:tr>
      <w:tr>
        <w:tc>
          <w:tcPr>
            <w:tcW w:type="dxa" w:w="4360"/>
          </w:tcPr>
          <w:p>
            <w:r>
              <w:t xml:space="preserve">trust_gov</w:t>
            </w:r>
          </w:p>
        </w:tc>
        <w:tc>
          <w:tcPr>
            <w:tcW w:type="dxa" w:w="2500"/>
          </w:tcPr>
          <w:p>
            <w:r>
              <w:t xml:space="preserve">0.031</w:t>
            </w:r>
          </w:p>
        </w:tc>
        <w:tc>
          <w:tcPr>
            <w:tcW w:type="dxa" w:w="2500"/>
          </w:tcPr>
          <w:p>
            <w:r>
              <w:t xml:space="preserve">26%</w:t>
            </w:r>
          </w:p>
        </w:tc>
      </w:tr>
      <w:tr>
        <w:tc>
          <w:tcPr>
            <w:tcW w:type="dxa" w:w="4360"/>
          </w:tcPr>
          <w:p>
            <w:r>
              <w:t xml:space="preserve">trust_media</w:t>
            </w:r>
          </w:p>
        </w:tc>
        <w:tc>
          <w:tcPr>
            <w:tcW w:type="dxa" w:w="2500"/>
          </w:tcPr>
          <w:p>
            <w:r>
              <w:t xml:space="preserve">0.014</w:t>
            </w:r>
          </w:p>
        </w:tc>
        <w:tc>
          <w:tcPr>
            <w:tcW w:type="dxa" w:w="2500"/>
          </w:tcPr>
          <w:p>
            <w:r>
              <w:t xml:space="preserve">12%</w:t>
            </w:r>
          </w:p>
        </w:tc>
      </w:tr>
      <w:tr>
        <w:tc>
          <w:tcPr>
            <w:tcW w:type="dxa" w:w="4360"/>
          </w:tcPr>
          <w:p>
            <w:r>
              <w:t xml:space="preserve">trust_science</w:t>
            </w:r>
          </w:p>
        </w:tc>
        <w:tc>
          <w:tcPr>
            <w:tcW w:type="dxa" w:w="2500"/>
          </w:tcPr>
          <w:p>
            <w:r>
              <w:t xml:space="preserve">0.048</w:t>
            </w:r>
          </w:p>
        </w:tc>
        <w:tc>
          <w:tcPr>
            <w:tcW w:type="dxa" w:w="2500"/>
          </w:tcPr>
          <w:p>
            <w:r>
              <w:t xml:space="preserve">41%</w:t>
            </w:r>
          </w:p>
        </w:tc>
      </w:tr>
      <w:tr>
        <w:tc>
          <w:tcPr>
            <w:tcW w:type="dxa" w:w="4360"/>
          </w:tcPr>
          <w:p>
            <w:r>
              <w:t xml:space="preserve">trust_local</w:t>
            </w:r>
          </w:p>
        </w:tc>
        <w:tc>
          <w:tcPr>
            <w:tcW w:type="dxa" w:w="2500"/>
          </w:tcPr>
          <w:p>
            <w:r>
              <w:t xml:space="preserve">0.018</w:t>
            </w:r>
          </w:p>
        </w:tc>
        <w:tc>
          <w:tcPr>
            <w:tcW w:type="dxa" w:w="2500"/>
          </w:tcPr>
          <w:p>
            <w:r>
              <w:t xml:space="preserve">15%</w:t>
            </w:r>
          </w:p>
        </w:tc>
      </w:tr>
      <w:tr>
        <w:tc>
          <w:tcPr>
            <w:tcW w:type="dxa" w:w="4360"/>
          </w:tcPr>
          <w:p>
            <w:r>
              <w:t xml:space="preserve">age</w:t>
            </w:r>
          </w:p>
        </w:tc>
        <w:tc>
          <w:tcPr>
            <w:tcW w:type="dxa" w:w="2500"/>
          </w:tcPr>
          <w:p>
            <w:r>
              <w:t xml:space="preserve">0.004</w:t>
            </w:r>
          </w:p>
        </w:tc>
        <w:tc>
          <w:tcPr>
            <w:tcW w:type="dxa" w:w="2500"/>
          </w:tcPr>
          <w:p>
            <w:r>
              <w:t xml:space="preserve">3%</w:t>
            </w:r>
          </w:p>
        </w:tc>
      </w:tr>
      <w:tr>
        <w:tc>
          <w:tcPr>
            <w:tcW w:type="dxa" w:w="4360"/>
          </w:tcPr>
          <w:p>
            <w:r>
              <w:t xml:space="preserve">educ_raw (joint)</w:t>
            </w:r>
          </w:p>
        </w:tc>
        <w:tc>
          <w:tcPr>
            <w:tcW w:type="dxa" w:w="2500"/>
          </w:tcPr>
          <w:p>
            <w:r>
              <w:t xml:space="preserve">0.004</w:t>
            </w:r>
          </w:p>
        </w:tc>
        <w:tc>
          <w:tcPr>
            <w:tcW w:type="dxa" w:w="2500"/>
          </w:tcPr>
          <w:p>
            <w:r>
              <w:t xml:space="preserve">3%</w:t>
            </w:r>
          </w:p>
        </w:tc>
      </w:tr>
      <w:tr>
        <w:tc>
          <w:tcPr>
            <w:tcW w:type="dxa" w:w="4360"/>
          </w:tcPr>
          <w:p>
            <w:r>
              <w:t xml:space="preserve">Total (= model pseudo-R2)</w:t>
            </w:r>
          </w:p>
        </w:tc>
        <w:tc>
          <w:tcPr>
            <w:tcW w:type="dxa" w:w="2500"/>
          </w:tcPr>
          <w:p>
            <w:r>
              <w:t xml:space="preserve">0.119</w:t>
            </w:r>
          </w:p>
        </w:tc>
        <w:tc>
          <w:tcPr>
            <w:tcW w:type="dxa" w:w="2500"/>
          </w:tcPr>
          <w:p>
            <w:r>
              <w:t xml:space="preserve">100%</w:t>
            </w:r>
          </w:p>
        </w:tc>
      </w:tr>
    </w:tbl>
    <w:p>
      <w:pPr>
        <w:spacing w:after="160"/>
      </w:pPr>
      <w:r>
        <w:t xml:space="preserve"/>
      </w:r>
    </w:p>
    <w:p>
      <w:pPr>
        <w:spacing w:after="160"/>
      </w:pPr>
      <w:r>
        <w:t xml:space="preserve">In this illustrative table, trust_science carries the largest general dominance weight and would be reported as the single most important predictor of policy_support — its 41% share of the model's total pseudo-R2 is well ahead of the next-largest trust item. That is a materially different, and more defensible, conclusion than simply comparing raw ologit coefficients, because it reflects trust_science's average contribution across every possible combination of the other predictors, not just its coefficient in the one specific model we happened to fit.</w:t>
      </w:r>
    </w:p>
    <w:p>
      <w:pPr>
        <w:pStyle w:val="Heading1"/>
        <w:spacing w:after="150" w:before="300"/>
      </w:pPr>
      <w:r>
        <w:t xml:space="preserve">Common pitfalls</w:t>
      </w:r>
    </w:p>
    <w:p>
      <w:pPr>
        <w:pStyle w:val="ListParagraph"/>
        <w:numPr>
          <w:ilvl w:val="0"/>
          <w:numId w:val="1"/>
        </w:numPr>
        <w:spacing w:after="80"/>
      </w:pPr>
      <w:r>
        <w:t xml:space="preserve">Treating the raw ologit coefficients as a ranking of "importance" when the predictors are correlated — this is precisely the situation dominance analysis is meant to correct for.</w:t>
      </w:r>
    </w:p>
    <w:p>
      <w:pPr>
        <w:pStyle w:val="ListParagraph"/>
        <w:numPr>
          <w:ilvl w:val="0"/>
          <w:numId w:val="1"/>
        </w:numPr>
        <w:spacing w:after="80"/>
      </w:pPr>
      <w:r>
        <w:t xml:space="preserve">Reporting complete dominance claims when only general dominance actually held in your results; always state clearly which type of dominance (complete, conditional, or general) your conclusion is based on.</w:t>
      </w:r>
    </w:p>
    <w:p>
      <w:pPr>
        <w:pStyle w:val="ListParagraph"/>
        <w:numPr>
          <w:ilvl w:val="0"/>
          <w:numId w:val="1"/>
        </w:numPr>
        <w:spacing w:after="80"/>
      </w:pPr>
      <w:r>
        <w:t xml:space="preserve">Assuming `domin`'s syntax shown in any tutorial (including this one) is exactly current — always confirm option names with `help domin` after installing, since the package has changed across versions.</w:t>
      </w:r>
    </w:p>
    <w:p>
      <w:pPr>
        <w:pStyle w:val="ListParagraph"/>
        <w:numPr>
          <w:ilvl w:val="0"/>
          <w:numId w:val="1"/>
        </w:numPr>
        <w:spacing w:after="80"/>
      </w:pPr>
      <w:r>
        <w:t xml:space="preserve">Underestimating runtime: dominance analysis fits 2^k subset models for k predictors, so adding predictors doubles the computational burden and can make the command slow or impractical with many predictors.</w:t>
      </w:r>
    </w:p>
    <w:p>
      <w:pPr>
        <w:pStyle w:val="ListParagraph"/>
        <w:numPr>
          <w:ilvl w:val="0"/>
          <w:numId w:val="1"/>
        </w:numPr>
        <w:spacing w:after="80"/>
      </w:pPr>
      <w:r>
        <w:t xml:space="preserve">Choosing a fit statistic that doesn't make sense for the estimation command specified in `reg()` — for ologit, e(r2_p) (McFadden's pseudo-R2) is a reasonable default, but different commands store fit statistics under different e() names.</w:t>
      </w:r>
    </w:p>
    <w:p>
      <w:pPr>
        <w:pStyle w:val="Heading1"/>
        <w:spacing w:after="150" w:before="300"/>
      </w:pPr>
      <w:r>
        <w:t xml:space="preserve">Try it yourself</w:t>
      </w:r>
    </w:p>
    <w:p>
      <w:pPr>
        <w:spacing w:after="160"/>
      </w:pPr>
      <w:r>
        <w:t xml:space="preserve">Matching the do-file's "Your turn" exercise:</w:t>
      </w:r>
    </w:p>
    <w:p>
      <w:pPr>
        <w:pStyle w:val="ListParagraph"/>
        <w:numPr>
          <w:ilvl w:val="0"/>
          <w:numId w:val="1"/>
        </w:numPr>
        <w:spacing w:after="80"/>
      </w:pPr>
      <w:r>
        <w:t xml:space="preserve">Using the illustrative dominance weights table above, write one or two sentences identifying which of the four trust_* variables dominates the others in explaining policy_support, and by roughly how much (in percentage-of-total-fit terms) it exceeds the next-largest trust_* predictor.</w:t>
      </w:r>
    </w:p>
    <w:p>
      <w:pPr>
        <w:pStyle w:val="ListParagraph"/>
        <w:numPr>
          <w:ilvl w:val="0"/>
          <w:numId w:val="1"/>
        </w:numPr>
        <w:spacing w:after="80"/>
      </w:pPr>
      <w:r>
        <w:t xml:space="preserve">Explain in your own words why this conclusion is more defensible than simply comparing the four trust_* coefficients from the ologit output.</w:t>
      </w:r>
    </w:p>
    <w:p>
      <w:pPr>
        <w:pStyle w:val="ListParagraph"/>
        <w:numPr>
          <w:ilvl w:val="0"/>
          <w:numId w:val="1"/>
        </w:numPr>
        <w:spacing w:after="80"/>
      </w:pPr>
      <w:r>
        <w:t xml:space="preserve">(Optional, conceptual) If a seventh predictor were added to the model, what would happen to the number of subset models domin needs to fit, and roughly how much longer would the command take to run?</w:t>
      </w:r>
    </w:p>
    <w:p>
      <w:pPr>
        <w:pStyle w:val="Heading1"/>
        <w:spacing w:after="150" w:before="300"/>
      </w:pPr>
      <w:r>
        <w:t xml:space="preserve">Sources &amp; further reading</w:t>
      </w:r>
    </w:p>
    <w:p>
      <w:pPr>
        <w:spacing w:after="160"/>
      </w:pPr>
      <w:r>
        <w:rPr>
          <w:i/>
          <w:iCs/>
        </w:rPr>
        <w:t xml:space="preserve">Budescu, D. V. (1993). Dominance analysis: A new approach to the problem of relative importance of predictors in multiple regression. Psychological Bulletin, 114(3), 542–551.</w:t>
      </w:r>
    </w:p>
    <w:p>
      <w:pPr>
        <w:spacing w:after="160"/>
      </w:pPr>
      <w:r>
        <w:rPr>
          <w:i/>
          <w:iCs/>
        </w:rPr>
        <w:t xml:space="preserve">Azen, R., &amp; Budescu, D. V. (2003). The dominance analysis approach for comparing predictors in multiple regression. Psychological Methods, 8(2), 129–148.</w:t>
      </w:r>
    </w:p>
    <w:p>
      <w:pPr>
        <w:spacing w:after="160"/>
      </w:pPr>
      <w:r>
        <w:rPr>
          <w:i/>
          <w:iCs/>
        </w:rPr>
        <w:t xml:space="preserve">Luchman, J. N. domin and domme — Stata modules for dominance analysis of predictor relative importance, Statistical Software Components, Boston College Department of Economics (distributed via SSC, ssc install domin / ssc install domme).</w:t>
      </w:r>
    </w:p>
    <w:p>
      <w:pPr>
        <w:spacing w:after="160"/>
      </w:pPr>
      <w:r>
        <w:rPr>
          <w:i/>
          <w:iCs/>
        </w:rPr>
        <w:t xml:space="preserve">Stata help file: after installation, run `help domin` for the authoritative, version-current reference on syntax and options — do not rely solely on any external tutorial, including this one, for exact option names.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2026-07-30T15:27:09.804Z</dcterms:created>
  <dcterms:modified xsi:type="dcterms:W3CDTF">2026-07-30T15:27:09.804Z</dcterms:modified>
</cp:coreProperties>
</file>

<file path=docProps/custom.xml><?xml version="1.0" encoding="utf-8"?>
<Properties xmlns="http://schemas.openxmlformats.org/officeDocument/2006/custom-properties" xmlns:vt="http://schemas.openxmlformats.org/officeDocument/2006/docPropsVTypes"/>
</file>