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Lesson 12: Latent Class Analysis</w:t>
      </w:r>
    </w:p>
    <w:p>
      <w:pPr>
        <w:spacing w:after="60"/>
      </w:pPr>
      <w:r>
        <w:rPr>
          <w:i/>
          <w:iCs/>
        </w:rPr>
        <w:t xml:space="preserve">Companion reading — Lesson 12 of 14, Stata Curriculum for Survey Researchers</w:t>
      </w:r>
    </w:p>
    <w:p>
      <w:pPr>
        <w:spacing w:after="200"/>
      </w:pPr>
      <w:r>
        <w:rPr>
          <w:i/>
          <w:iCs/>
        </w:rPr>
        <w:t xml:space="preserve">Estimated time: 45 minutes  |  Prerequisites: Lessons 08–10 (regression, weighted regression, categorical outcomes)</w:t>
      </w:r>
    </w:p>
    <w:p>
      <w:pPr>
        <w:pBdr>
          <w:bottom w:val="single" w:color="999999" w:sz="6" w:space="1"/>
        </w:pBdr>
        <w:spacing w:after="200"/>
      </w:pPr>
    </w:p>
    <w:p>
      <w:pPr>
        <w:pStyle w:val="Heading1"/>
        <w:spacing w:after="150" w:before="300"/>
      </w:pPr>
      <w:r>
        <w:t xml:space="preserve">The core idea, in plain language</w:t>
      </w:r>
    </w:p>
    <w:p>
      <w:pPr>
        <w:spacing w:after="160"/>
      </w:pPr>
      <w:r>
        <w:t xml:space="preserve">Imagine you could sort every respondent in your survey into one of a small number of hidden "types" — say, people who are </w:t>
      </w:r>
      <w:r>
        <w:rPr>
          <w:b/>
          <w:bCs/>
        </w:rPr>
        <w:t xml:space="preserve">generally trusting</w:t>
      </w:r>
      <w:r>
        <w:t xml:space="preserve"> and people who are </w:t>
      </w:r>
      <w:r>
        <w:rPr>
          <w:b/>
          <w:bCs/>
        </w:rPr>
        <w:t xml:space="preserve">generally skeptical</w:t>
      </w:r>
      <w:r>
        <w:t xml:space="preserve">. If you could see that type directly, describing your data would be easy: just tabulate the type and you're done. The problem is you can't see it. You only get to see each person's answers to four separate survey questions — how much they trust government, the media, science, and local institutions (</w:t>
      </w:r>
      <w:r>
        <w:rPr>
          <w:i/>
          <w:iCs/>
        </w:rPr>
        <w:t xml:space="preserve">trust_gov, trust_media, trust_science, trust_local</w:t>
      </w:r>
      <w:r>
        <w:t xml:space="preserve">), each on a 1–5 agreement scale.</w:t>
      </w:r>
    </w:p>
    <w:p>
      <w:pPr>
        <w:spacing w:after="160"/>
      </w:pPr>
      <w:r>
        <w:t xml:space="preserve">Here is the key insight behind latent class analysis (LCA): if a hidden "trust type" really exists and really does drive all four answers, then within any one type, the four answers should be only weakly related to each other — someone's answer to the government question shouldn't tell you much extra about their science answer, </w:t>
      </w:r>
      <w:r>
        <w:rPr>
          <w:b/>
          <w:bCs/>
        </w:rPr>
        <w:t xml:space="preserve">once you already know their type</w:t>
      </w:r>
      <w:r>
        <w:t xml:space="preserve">. Statisticians call this </w:t>
      </w:r>
      <w:r>
        <w:rPr>
          <w:b/>
          <w:bCs/>
        </w:rPr>
        <w:t xml:space="preserve">local independence</w:t>
      </w:r>
      <w:r>
        <w:t xml:space="preserve">: the indicators are independent of one another </w:t>
      </w:r>
      <w:r>
        <w:rPr>
          <w:i/>
          <w:iCs/>
        </w:rPr>
        <w:t xml:space="preserve">conditional on</w:t>
      </w:r>
      <w:r>
        <w:t xml:space="preserve"> latent class membership. The correlation we actually observe between the four items in the full sample — and in real survey data these trust items are usually correlated — is, under this model, entirely a byproduct of the sample being a blend of a few distinct types, each with its own characteristic response pattern. LCA works backwards from the observed answers to recover (a) how many types there plausibly are, (b) what each type's typical response pattern looks like, and (c) each respondent's estimated probability of belonging to each type.</w:t>
      </w:r>
    </w:p>
    <w:p>
      <w:pPr>
        <w:spacing w:after="160"/>
      </w:pPr>
      <w:r>
        <w:t xml:space="preserve">This is the same logic that underlies a lot of everyday reasoning about people: we can't directly observe someone's personality, political leaning, or brand loyalty, but we infer it from a handful of observable behaviors or answers. LCA formalizes that inference with an actual statistical model instead of an analyst's gut feel.</w:t>
      </w:r>
    </w:p>
    <w:p>
      <w:pPr>
        <w:pStyle w:val="Heading2"/>
        <w:spacing w:after="120" w:before="240"/>
      </w:pPr>
      <w:r>
        <w:t xml:space="preserve">How this differs from factor analysis</w:t>
      </w:r>
    </w:p>
    <w:p>
      <w:pPr>
        <w:spacing w:after="160"/>
      </w:pPr>
      <w:r>
        <w:t xml:space="preserve">If you've encountered factor analysis, it's natural to ask how this is different. Factor analysis also assumes an unobserved variable driving a set of indicators, but that latent variable is </w:t>
      </w:r>
      <w:r>
        <w:rPr>
          <w:b/>
          <w:bCs/>
        </w:rPr>
        <w:t xml:space="preserve">continuous</w:t>
      </w:r>
      <w:r>
        <w:t xml:space="preserve"> — a "trust score" that could be any real number, like -1.4 or +2.1 — and it's linked to the indicators through continuous </w:t>
      </w:r>
      <w:r>
        <w:rPr>
          <w:b/>
          <w:bCs/>
        </w:rPr>
        <w:t xml:space="preserve">factor loadings</w:t>
      </w:r>
      <w:r>
        <w:t xml:space="preserve">. LCA instead assumes the latent variable is </w:t>
      </w:r>
      <w:r>
        <w:rPr>
          <w:b/>
          <w:bCs/>
        </w:rPr>
        <w:t xml:space="preserve">categorical</w:t>
      </w:r>
      <w:r>
        <w:t xml:space="preserve">: a small, fixed number of discrete groups, not a sliding scale. Instead of loadings, LCA estimates, for each class, the probability of giving each possible answer to each item (e.g., "in Class 1, 78% of people answer 'Agree' or 'Strongly agree' to trust_gov"). Both are legitimate ways to summarize the same kind of correlated-indicator data — the right choice depends on whether you believe the underlying thing you're trying to measure is more like a continuum or more like a set of distinct groups.</w:t>
      </w:r>
    </w:p>
    <w:p>
      <w:pPr>
        <w:pStyle w:val="Heading1"/>
        <w:spacing w:after="150" w:before="300"/>
      </w:pPr>
      <w:r>
        <w:t xml:space="preserve">Why this matters for survey research</w:t>
      </w:r>
    </w:p>
    <w:p>
      <w:pPr>
        <w:spacing w:after="160"/>
      </w:pPr>
      <w:r>
        <w:t xml:space="preserve">Segmentation and typology work is one of the most common deliverables survey researchers are asked to produce: "give us three or four audience segments we can target differently," or "what kinds of respondents do we actually have?" LCA gives you a principled, model-based way to build that segmentation instead of an ad hoc one (like eyeballing cross-tabs or drawing arbitrary cutoffs on a summed scale). Because it also gives you, for every respondent, a probability of belonging to each segment, you can carry those segments forward into further analysis — cross-tabbing them against demographics, using them as an outcome or predictor elsewhere, or simply reporting segment sizes and profiles as a standalone deliverable ("41% of the public falls into a broadly low-trust segment").</w:t>
      </w:r>
    </w:p>
    <w:p>
      <w:pPr>
        <w:pStyle w:val="Heading1"/>
        <w:spacing w:after="150" w:before="300"/>
      </w:pPr>
      <w:r>
        <w:t xml:space="preserve">Annotated walkthrough</w:t>
      </w:r>
    </w:p>
    <w:p>
      <w:pPr>
        <w:spacing w:after="160"/>
      </w:pPr>
      <w:r>
        <w:t xml:space="preserve">The lesson's do-file fits the LCA measurement model with Stata's </w:t>
      </w:r>
      <w:r>
        <w:rPr>
          <w:b/>
          <w:bCs/>
        </w:rPr>
        <w:t xml:space="preserve">gsem</w:t>
      </w:r>
      <w:r>
        <w:t xml:space="preserve"> command, which is the modern, general engine StataCorp recommends for latent-variable models including LCA:</w:t>
      </w:r>
    </w:p>
    <w:p>
      <w:pPr>
        <w:spacing w:after="100"/>
      </w:pPr>
      <w:r>
        <w:rPr>
          <w:b/>
          <w:bCs/>
        </w:rPr>
        <w:t xml:space="preserve">gsem (trust_gov trust_media trust_science trust_local &lt;-), logit lclass(C 2)</w:t>
      </w:r>
    </w:p>
    <w:p>
      <w:pPr>
        <w:spacing w:after="160"/>
      </w:pPr>
      <w:r>
        <w:t xml:space="preserve">Breaking that down: the four trust_* variables are the indicators. The </w:t>
      </w:r>
      <w:r>
        <w:rPr>
          <w:b/>
          <w:bCs/>
        </w:rPr>
        <w:t xml:space="preserve">&lt;-</w:t>
      </w:r>
      <w:r>
        <w:t xml:space="preserve"> with nothing after it means each indicator is regressed only on the latent class variable — there are no other covariates in this basic version. </w:t>
      </w:r>
      <w:r>
        <w:rPr>
          <w:b/>
          <w:bCs/>
        </w:rPr>
        <w:t xml:space="preserve">logit</w:t>
      </w:r>
      <w:r>
        <w:t xml:space="preserve"> sets the measurement model's link, treating each 1–5 item as a categorical outcome (not exploiting its ordering; Stata also supports ordinal links such as </w:t>
      </w:r>
      <w:r>
        <w:rPr>
          <w:i/>
          <w:iCs/>
        </w:rPr>
        <w:t xml:space="preserve">oprobit</w:t>
      </w:r>
      <w:r>
        <w:t xml:space="preserve">/</w:t>
      </w:r>
      <w:r>
        <w:rPr>
          <w:i/>
          <w:iCs/>
        </w:rPr>
        <w:t xml:space="preserve">ologit</w:t>
      </w:r>
      <w:r>
        <w:t xml:space="preserve"> within gsem, worth trying once you're comfortable with the basics). </w:t>
      </w:r>
      <w:r>
        <w:rPr>
          <w:b/>
          <w:bCs/>
        </w:rPr>
        <w:t xml:space="preserve">lclass(C 2)</w:t>
      </w:r>
      <w:r>
        <w:t xml:space="preserve"> requests a latent class variable named C with 2 categories.</w:t>
      </w:r>
    </w:p>
    <w:p>
      <w:pPr>
        <w:spacing w:after="160"/>
      </w:pPr>
      <w:r>
        <w:t xml:space="preserve">The do-file then fits the SAME model with 2, 3, and 4 classes and compares them using </w:t>
      </w:r>
      <w:r>
        <w:rPr>
          <w:b/>
          <w:bCs/>
        </w:rPr>
        <w:t xml:space="preserve">estat ic</w:t>
      </w:r>
      <w:r>
        <w:t xml:space="preserve"> (AIC and BIC). More classes will always fit the observed data at least as well, so a penalized criterion is essential — BIC is the more commonly preferred criterion for choosing class count in LCA, because it penalizes extra parameters more heavily. Because our four trust_* items were generated from a single shared underlying trust factor plus noise, a 2- or 3-class solution is the kind of structure we'd realistically expect to recover here — for example, a broadly high-trust group, a broadly low-trust group, and possibly a smaller "institution-selective" group that trusts science and local government but not national government or media.</w:t>
      </w:r>
    </w:p>
    <w:p>
      <w:pPr>
        <w:spacing w:after="160"/>
      </w:pPr>
      <w:r>
        <w:rPr>
          <w:b/>
          <w:bCs/>
        </w:rPr>
        <w:t xml:space="preserve">Illustrative example output</w:t>
      </w:r>
      <w:r>
        <w:t xml:space="preserve"> — the table below is a hypothetical, made-up illustration of what a fitted 3-class solution's class-specific response probabilities (from </w:t>
      </w:r>
      <w:r>
        <w:rPr>
          <w:i/>
          <w:iCs/>
        </w:rPr>
        <w:t xml:space="preserve">estat lcmean</w:t>
      </w:r>
      <w:r>
        <w:t xml:space="preserve">) might plausibly look like. It is NOT a real result from this dataset — no live Stata was available while writing this lesson — it exists only to show you what you're looking for when you inspect your own output.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000"/>
        <w:gridCol w:w="2000"/>
      </w:tblGrid>
      <w:tr>
        <w:trPr>
          <w:tblHeader/>
        </w:trPr>
        <w:tc>
          <w:tcPr>
            <w:tcW w:type="dxa" w:w="2600"/>
            <w:shd w:fill="D9E2F3" w:color="auto" w:val="clear"/>
          </w:tcPr>
          <w:p>
            <w:r>
              <w:rPr>
                <w:b/>
                <w:bCs/>
              </w:rPr>
              <w:t xml:space="preserve">Indicator (item)</w:t>
            </w:r>
          </w:p>
        </w:tc>
        <w:tc>
          <w:tcPr>
            <w:tcW w:type="dxa" w:w="2000"/>
            <w:shd w:fill="D9E2F3" w:color="auto" w:val="clear"/>
          </w:tcPr>
          <w:p>
            <w:r>
              <w:rPr>
                <w:b/>
                <w:bCs/>
              </w:rPr>
              <w:t xml:space="preserve">Class 1
("high trust")</w:t>
            </w:r>
          </w:p>
        </w:tc>
        <w:tc>
          <w:tcPr>
            <w:tcW w:type="dxa" w:w="2000"/>
            <w:shd w:fill="D9E2F3" w:color="auto" w:val="clear"/>
          </w:tcPr>
          <w:p>
            <w:r>
              <w:rPr>
                <w:b/>
                <w:bCs/>
              </w:rPr>
              <w:t xml:space="preserve">Class 2
("low trust")</w:t>
            </w:r>
          </w:p>
        </w:tc>
        <w:tc>
          <w:tcPr>
            <w:tcW w:type="dxa" w:w="2000"/>
            <w:shd w:fill="D9E2F3" w:color="auto" w:val="clear"/>
          </w:tcPr>
          <w:p>
            <w:r>
              <w:rPr>
                <w:b/>
                <w:bCs/>
              </w:rPr>
              <w:t xml:space="preserve">Class 3
("selective")</w:t>
            </w:r>
          </w:p>
        </w:tc>
        <w:tc>
          <w:tcPr>
            <w:tcW w:type="dxa" w:w="2000"/>
            <w:shd w:fill="D9E2F3" w:color="auto" w:val="clear"/>
          </w:tcPr>
          <w:p>
            <w:r>
              <w:rPr>
                <w:b/>
                <w:bCs/>
              </w:rPr>
              <w:t xml:space="preserve">Overall sample</w:t>
            </w:r>
          </w:p>
        </w:tc>
      </w:tr>
      <w:tr>
        <w:tc>
          <w:tcPr>
            <w:tcW w:type="dxa" w:w="2600"/>
          </w:tcPr>
          <w:p>
            <w:r>
              <w:rPr>
                <w:b w:val="false"/>
                <w:bCs w:val="false"/>
              </w:rPr>
              <w:t xml:space="preserve">P(trust_gov = Agree/Strongly agree)</w:t>
            </w:r>
          </w:p>
        </w:tc>
        <w:tc>
          <w:tcPr>
            <w:tcW w:type="dxa" w:w="2000"/>
          </w:tcPr>
          <w:p>
            <w:r>
              <w:rPr>
                <w:b w:val="false"/>
                <w:bCs w:val="false"/>
              </w:rPr>
              <w:t xml:space="preserve">0.78</w:t>
            </w:r>
          </w:p>
        </w:tc>
        <w:tc>
          <w:tcPr>
            <w:tcW w:type="dxa" w:w="2000"/>
          </w:tcPr>
          <w:p>
            <w:r>
              <w:rPr>
                <w:b w:val="false"/>
                <w:bCs w:val="false"/>
              </w:rPr>
              <w:t xml:space="preserve">0.06</w:t>
            </w:r>
          </w:p>
        </w:tc>
        <w:tc>
          <w:tcPr>
            <w:tcW w:type="dxa" w:w="2000"/>
          </w:tcPr>
          <w:p>
            <w:r>
              <w:rPr>
                <w:b w:val="false"/>
                <w:bCs w:val="false"/>
              </w:rPr>
              <w:t xml:space="preserve">0.22</w:t>
            </w:r>
          </w:p>
        </w:tc>
        <w:tc>
          <w:tcPr>
            <w:tcW w:type="dxa" w:w="2000"/>
          </w:tcPr>
          <w:p>
            <w:r>
              <w:rPr>
                <w:b w:val="false"/>
                <w:bCs w:val="false"/>
              </w:rPr>
              <w:t xml:space="preserve">0.35</w:t>
            </w:r>
          </w:p>
        </w:tc>
      </w:tr>
      <w:tr>
        <w:tc>
          <w:tcPr>
            <w:tcW w:type="dxa" w:w="2600"/>
          </w:tcPr>
          <w:p>
            <w:r>
              <w:rPr>
                <w:b w:val="false"/>
                <w:bCs w:val="false"/>
              </w:rPr>
              <w:t xml:space="preserve">P(trust_media = Agree/Strongly agree)</w:t>
            </w:r>
          </w:p>
        </w:tc>
        <w:tc>
          <w:tcPr>
            <w:tcW w:type="dxa" w:w="2000"/>
          </w:tcPr>
          <w:p>
            <w:r>
              <w:rPr>
                <w:b w:val="false"/>
                <w:bCs w:val="false"/>
              </w:rPr>
              <w:t xml:space="preserve">0.71</w:t>
            </w:r>
          </w:p>
        </w:tc>
        <w:tc>
          <w:tcPr>
            <w:tcW w:type="dxa" w:w="2000"/>
          </w:tcPr>
          <w:p>
            <w:r>
              <w:rPr>
                <w:b w:val="false"/>
                <w:bCs w:val="false"/>
              </w:rPr>
              <w:t xml:space="preserve">0.05</w:t>
            </w:r>
          </w:p>
        </w:tc>
        <w:tc>
          <w:tcPr>
            <w:tcW w:type="dxa" w:w="2000"/>
          </w:tcPr>
          <w:p>
            <w:r>
              <w:rPr>
                <w:b w:val="false"/>
                <w:bCs w:val="false"/>
              </w:rPr>
              <w:t xml:space="preserve">0.18</w:t>
            </w:r>
          </w:p>
        </w:tc>
        <w:tc>
          <w:tcPr>
            <w:tcW w:type="dxa" w:w="2000"/>
          </w:tcPr>
          <w:p>
            <w:r>
              <w:rPr>
                <w:b w:val="false"/>
                <w:bCs w:val="false"/>
              </w:rPr>
              <w:t xml:space="preserve">0.31</w:t>
            </w:r>
          </w:p>
        </w:tc>
      </w:tr>
      <w:tr>
        <w:tc>
          <w:tcPr>
            <w:tcW w:type="dxa" w:w="2600"/>
          </w:tcPr>
          <w:p>
            <w:r>
              <w:rPr>
                <w:b w:val="false"/>
                <w:bCs w:val="false"/>
              </w:rPr>
              <w:t xml:space="preserve">P(trust_science = Agree/Strongly agree)</w:t>
            </w:r>
          </w:p>
        </w:tc>
        <w:tc>
          <w:tcPr>
            <w:tcW w:type="dxa" w:w="2000"/>
          </w:tcPr>
          <w:p>
            <w:r>
              <w:rPr>
                <w:b w:val="false"/>
                <w:bCs w:val="false"/>
              </w:rPr>
              <w:t xml:space="preserve">0.82</w:t>
            </w:r>
          </w:p>
        </w:tc>
        <w:tc>
          <w:tcPr>
            <w:tcW w:type="dxa" w:w="2000"/>
          </w:tcPr>
          <w:p>
            <w:r>
              <w:rPr>
                <w:b w:val="false"/>
                <w:bCs w:val="false"/>
              </w:rPr>
              <w:t xml:space="preserve">0.11</w:t>
            </w:r>
          </w:p>
        </w:tc>
        <w:tc>
          <w:tcPr>
            <w:tcW w:type="dxa" w:w="2000"/>
          </w:tcPr>
          <w:p>
            <w:r>
              <w:rPr>
                <w:b w:val="false"/>
                <w:bCs w:val="false"/>
              </w:rPr>
              <w:t xml:space="preserve">0.64</w:t>
            </w:r>
          </w:p>
        </w:tc>
        <w:tc>
          <w:tcPr>
            <w:tcW w:type="dxa" w:w="2000"/>
          </w:tcPr>
          <w:p>
            <w:r>
              <w:rPr>
                <w:b w:val="false"/>
                <w:bCs w:val="false"/>
              </w:rPr>
              <w:t xml:space="preserve">0.48</w:t>
            </w:r>
          </w:p>
        </w:tc>
      </w:tr>
      <w:tr>
        <w:tc>
          <w:tcPr>
            <w:tcW w:type="dxa" w:w="2600"/>
          </w:tcPr>
          <w:p>
            <w:r>
              <w:rPr>
                <w:b w:val="false"/>
                <w:bCs w:val="false"/>
              </w:rPr>
              <w:t xml:space="preserve">P(trust_local = Agree/Strongly agree)</w:t>
            </w:r>
          </w:p>
        </w:tc>
        <w:tc>
          <w:tcPr>
            <w:tcW w:type="dxa" w:w="2000"/>
          </w:tcPr>
          <w:p>
            <w:r>
              <w:rPr>
                <w:b w:val="false"/>
                <w:bCs w:val="false"/>
              </w:rPr>
              <w:t xml:space="preserve">0.75</w:t>
            </w:r>
          </w:p>
        </w:tc>
        <w:tc>
          <w:tcPr>
            <w:tcW w:type="dxa" w:w="2000"/>
          </w:tcPr>
          <w:p>
            <w:r>
              <w:rPr>
                <w:b w:val="false"/>
                <w:bCs w:val="false"/>
              </w:rPr>
              <w:t xml:space="preserve">0.09</w:t>
            </w:r>
          </w:p>
        </w:tc>
        <w:tc>
          <w:tcPr>
            <w:tcW w:type="dxa" w:w="2000"/>
          </w:tcPr>
          <w:p>
            <w:r>
              <w:rPr>
                <w:b w:val="false"/>
                <w:bCs w:val="false"/>
              </w:rPr>
              <w:t xml:space="preserve">0.58</w:t>
            </w:r>
          </w:p>
        </w:tc>
        <w:tc>
          <w:tcPr>
            <w:tcW w:type="dxa" w:w="2000"/>
          </w:tcPr>
          <w:p>
            <w:r>
              <w:rPr>
                <w:b w:val="false"/>
                <w:bCs w:val="false"/>
              </w:rPr>
              <w:t xml:space="preserve">0.44</w:t>
            </w:r>
          </w:p>
        </w:tc>
      </w:tr>
      <w:tr>
        <w:tc>
          <w:tcPr>
            <w:tcW w:type="dxa" w:w="2600"/>
            <w:shd w:fill="F2F2F2" w:color="auto" w:val="clear"/>
          </w:tcPr>
          <w:p>
            <w:r>
              <w:rPr>
                <w:b/>
                <w:bCs/>
              </w:rPr>
              <w:t xml:space="preserve">Estimated class size (share of sample)</w:t>
            </w:r>
          </w:p>
        </w:tc>
        <w:tc>
          <w:tcPr>
            <w:tcW w:type="dxa" w:w="2000"/>
            <w:shd w:fill="F2F2F2" w:color="auto" w:val="clear"/>
          </w:tcPr>
          <w:p>
            <w:r>
              <w:rPr>
                <w:b/>
                <w:bCs/>
              </w:rPr>
              <w:t xml:space="preserve">34%</w:t>
            </w:r>
          </w:p>
        </w:tc>
        <w:tc>
          <w:tcPr>
            <w:tcW w:type="dxa" w:w="2000"/>
            <w:shd w:fill="F2F2F2" w:color="auto" w:val="clear"/>
          </w:tcPr>
          <w:p>
            <w:r>
              <w:rPr>
                <w:b/>
                <w:bCs/>
              </w:rPr>
              <w:t xml:space="preserve">41%</w:t>
            </w:r>
          </w:p>
        </w:tc>
        <w:tc>
          <w:tcPr>
            <w:tcW w:type="dxa" w:w="2000"/>
            <w:shd w:fill="F2F2F2" w:color="auto" w:val="clear"/>
          </w:tcPr>
          <w:p>
            <w:r>
              <w:rPr>
                <w:b/>
                <w:bCs/>
              </w:rPr>
              <w:t xml:space="preserve">25%</w:t>
            </w:r>
          </w:p>
        </w:tc>
        <w:tc>
          <w:tcPr>
            <w:tcW w:type="dxa" w:w="2000"/>
            <w:shd w:fill="F2F2F2" w:color="auto" w:val="clear"/>
          </w:tcPr>
          <w:p>
            <w:r>
              <w:rPr>
                <w:b/>
                <w:bCs/>
              </w:rPr>
              <w:t xml:space="preserve">100%</w:t>
            </w:r>
          </w:p>
        </w:tc>
      </w:tr>
    </w:tbl>
    <w:p>
      <w:pPr>
        <w:spacing w:after="200"/>
      </w:pPr>
    </w:p>
    <w:p>
      <w:pPr>
        <w:spacing w:after="160"/>
      </w:pPr>
      <w:r>
        <w:t xml:space="preserve">After choosing a class count, </w:t>
      </w:r>
      <w:r>
        <w:rPr>
          <w:b/>
          <w:bCs/>
        </w:rPr>
        <w:t xml:space="preserve">estat lcprob</w:t>
      </w:r>
      <w:r>
        <w:t xml:space="preserve"> reports the average (sample-wide) probability of falling into each class, while </w:t>
      </w:r>
      <w:r>
        <w:rPr>
          <w:b/>
          <w:bCs/>
        </w:rPr>
        <w:t xml:space="preserve">predict classpost*, classposteriorpr</w:t>
      </w:r>
      <w:r>
        <w:t xml:space="preserve"> computes each respondent's own posterior probability of membership in each class, based on their specific answers. Assigning each respondent to their single most likely ("modal") class turns those probabilities into one categorical variable you can cross-tabulate against things the model never saw — like education or age — as an informal, outside check on whether the classes make substantive sense. That validation step is not part of the mixture model itself; it's just good practice.</w:t>
      </w:r>
    </w:p>
    <w:p>
      <w:pPr>
        <w:pStyle w:val="Heading1"/>
        <w:spacing w:after="150" w:before="300"/>
      </w:pPr>
      <w:r>
        <w:t xml:space="preserve">Class labels are yours to propose, not Stata's to hand you</w:t>
      </w:r>
    </w:p>
    <w:p>
      <w:pPr>
        <w:spacing w:after="160"/>
      </w:pPr>
      <w:r>
        <w:t xml:space="preserve">This is worth restating on its own: Stata will output classes numbered 1, 2, 3 — nothing more. Labels like "broadly high trust" or "broadly low trust" are </w:t>
      </w:r>
      <w:r>
        <w:rPr>
          <w:b/>
          <w:bCs/>
        </w:rPr>
        <w:t xml:space="preserve">your</w:t>
      </w:r>
      <w:r>
        <w:t xml:space="preserve"> interpretive summary, written only after you've inspected the class-specific response probabilities (</w:t>
      </w:r>
      <w:r>
        <w:rPr>
          <w:i/>
          <w:iCs/>
        </w:rPr>
        <w:t xml:space="preserve">estat lcmean</w:t>
      </w:r>
      <w:r>
        <w:t xml:space="preserve">). Two analysts looking at the same output could reasonably propose different labels. Always present the underlying probability table alongside any labels you use, so your reader can judge the label for themselves rather than take it on faith.</w:t>
      </w:r>
    </w:p>
    <w:p>
      <w:pPr>
        <w:pStyle w:val="Heading1"/>
        <w:spacing w:after="150" w:before="300"/>
      </w:pPr>
      <w:r>
        <w:t xml:space="preserve">Common pitfalls</w:t>
      </w:r>
    </w:p>
    <w:p>
      <w:pPr>
        <w:pStyle w:val="ListParagraph"/>
        <w:numPr>
          <w:ilvl w:val="0"/>
          <w:numId w:val="2"/>
        </w:numPr>
        <w:spacing w:after="80"/>
      </w:pPr>
      <w:r>
        <w:t xml:space="preserve">Treating class labels as "discovered" facts. The number of classes and their response probabilities come from the model; the human-readable NAME for each class ("skeptics," "loyalists," etc.) is your interpretive judgment call, made after the fact — be transparent about that in any write-up.</w:t>
      </w:r>
    </w:p>
    <w:p>
      <w:pPr>
        <w:pStyle w:val="ListParagraph"/>
        <w:numPr>
          <w:ilvl w:val="0"/>
          <w:numId w:val="2"/>
        </w:numPr>
        <w:spacing w:after="80"/>
      </w:pPr>
      <w:r>
        <w:t xml:space="preserve">Choosing the number of classes by fit statistics alone. BIC/AIC will keep improving (or plateau oddly) as you add classes; a solution with excellent BIC but classes that don't differ in any substantively interpretable way is not a good final answer. Combine the statistic with a look at estat lcmean.</w:t>
      </w:r>
    </w:p>
    <w:p>
      <w:pPr>
        <w:pStyle w:val="ListParagraph"/>
        <w:numPr>
          <w:ilvl w:val="0"/>
          <w:numId w:val="2"/>
        </w:numPr>
        <w:spacing w:after="80"/>
      </w:pPr>
      <w:r>
        <w:t xml:space="preserve">Ignoring convergence and local maxima. LCA models are fit by an iterative optimizer that can settle on a locally-best-but-not-globally-best solution, especially with more classes or weaker separation between them. Refit from multiple random starting values and confirm you reach the same maximized log-likelihood more than once before trusting a result.</w:t>
      </w:r>
    </w:p>
    <w:p>
      <w:pPr>
        <w:pStyle w:val="ListParagraph"/>
        <w:numPr>
          <w:ilvl w:val="0"/>
          <w:numId w:val="2"/>
        </w:numPr>
        <w:spacing w:after="80"/>
      </w:pPr>
      <w:r>
        <w:t xml:space="preserve">Confusing LCA with cluster analysis or factor analysis. Cluster analysis (e.g., k-means) is typically a purely descriptive/distance-based grouping technique without an explicit probability model behind it; factor analysis assumes a continuous latent trait rather than discrete groups. LCA is a model-based, probabilistic method for discrete latent groups — know which one you're actually running and why.</w:t>
      </w:r>
    </w:p>
    <w:p>
      <w:pPr>
        <w:pStyle w:val="ListParagraph"/>
        <w:numPr>
          <w:ilvl w:val="0"/>
          <w:numId w:val="2"/>
        </w:numPr>
        <w:spacing w:after="80"/>
      </w:pPr>
      <w:r>
        <w:t xml:space="preserve">Over-trusting a single run's class assignments as ground truth for downstream analysis. Posterior class probabilities reflect genuine uncertainty — a respondent with a 55%/45% split between two classes is meaningfully less "clearly" in their assigned class than one with a 98%/2% split. Consider carrying the probabilities forward, not just the modal assignment, when the assignment is close.</w:t>
      </w:r>
    </w:p>
    <w:p>
      <w:pPr>
        <w:pStyle w:val="Heading1"/>
        <w:spacing w:after="150" w:before="300"/>
      </w:pPr>
      <w:r>
        <w:t xml:space="preserve">Try it yourself</w:t>
      </w:r>
    </w:p>
    <w:p>
      <w:pPr>
        <w:spacing w:after="160"/>
      </w:pPr>
      <w:r>
        <w:t xml:space="preserve">Working from </w:t>
      </w:r>
      <w:r>
        <w:rPr>
          <w:i/>
          <w:iCs/>
        </w:rPr>
        <w:t xml:space="preserve">lessons/12_latent_class_analysis/12_latent_class_analysis.do</w:t>
      </w:r>
      <w:r>
        <w:t xml:space="preserve">: fit a 2-class model and a 3-class model on the four trust_* indicators, record each model's BIC from </w:t>
      </w:r>
      <w:r>
        <w:rPr>
          <w:i/>
          <w:iCs/>
        </w:rPr>
        <w:t xml:space="preserve">estat ic</w:t>
      </w:r>
      <w:r>
        <w:t xml:space="preserve">, and note which one wins. Then run </w:t>
      </w:r>
      <w:r>
        <w:rPr>
          <w:i/>
          <w:iCs/>
        </w:rPr>
        <w:t xml:space="preserve">estat lcmean</w:t>
      </w:r>
      <w:r>
        <w:t xml:space="preserve"> on your preferred model and write a one-sentence substantive label for each class based on the response probabilities you see — remembering that the label is your proposal, not something Stata asserts for you.</w:t>
      </w:r>
    </w:p>
    <w:p>
      <w:pPr>
        <w:pStyle w:val="Heading1"/>
        <w:spacing w:after="150" w:before="300"/>
      </w:pPr>
      <w:r>
        <w:t xml:space="preserve">Sources &amp; further reading</w:t>
      </w:r>
    </w:p>
    <w:p>
      <w:pPr>
        <w:spacing w:after="160"/>
      </w:pPr>
      <w:r>
        <w:t xml:space="preserve">Collins, L. M., &amp; Lanza, S. T. (2010). </w:t>
      </w:r>
      <w:r>
        <w:rPr>
          <w:i/>
          <w:iCs/>
        </w:rPr>
        <w:t xml:space="preserve">Latent Class and Latent Transition Analysis: With Applications in the Social, Behavioral, and Health Sciences.</w:t>
      </w:r>
      <w:r>
        <w:t xml:space="preserve"> Wiley.</w:t>
      </w:r>
    </w:p>
    <w:p>
      <w:pPr>
        <w:spacing w:after="160"/>
      </w:pPr>
      <w:r>
        <w:t xml:space="preserve">StataCorp. Structural Equation Modeling Reference Manual [SEM] — see the gsem entry and the "Latent class analysis" section / lclass() option documentation.</w:t>
      </w:r>
    </w:p>
    <w:p>
      <w:pPr>
        <w:spacing w:after="160"/>
      </w:pPr>
      <w:r>
        <w:t xml:space="preserve">For historical context: Vermunt, J. K., &amp; Magidson, J. — developers of </w:t>
      </w:r>
      <w:r>
        <w:rPr>
          <w:i/>
          <w:iCs/>
        </w:rPr>
        <w:t xml:space="preserve">Latent GOLD</w:t>
      </w:r>
      <w:r>
        <w:t xml:space="preserve">, the best-known standalone software built specifically for latent class and latent transition analysis, predating gsem's LCA capability.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2026-07-30T15:28:24.330Z</dcterms:created>
  <dcterms:modified xsi:type="dcterms:W3CDTF">2026-07-30T15:28:24.330Z</dcterms:modified>
</cp:coreProperties>
</file>

<file path=docProps/custom.xml><?xml version="1.0" encoding="utf-8"?>
<Properties xmlns="http://schemas.openxmlformats.org/officeDocument/2006/custom-properties" xmlns:vt="http://schemas.openxmlformats.org/officeDocument/2006/docPropsVTypes"/>
</file>