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00"/>
        <w:jc w:val="center"/>
      </w:pPr>
      <w:r>
        <w:rPr>
          <w:rFonts w:ascii="Arial" w:cs="Arial" w:eastAsia="Arial" w:hAnsi="Arial"/>
          <w:b/>
          <w:bCs/>
          <w:color w:val="0F3460"/>
          <w:sz w:val="56"/>
          <w:szCs w:val="56"/>
        </w:rPr>
        <w:t xml:space="preserve">NullByte Academy</w:t>
      </w:r>
    </w:p>
    <w:p>
      <w:pPr>
        <w:jc w:val="center"/>
      </w:pPr>
      <w:r>
        <w:rPr>
          <w:rFonts w:ascii="Arial" w:cs="Arial" w:eastAsia="Arial" w:hAnsi="Arial"/>
          <w:color w:val="2E86AB"/>
          <w:sz w:val="26"/>
          <w:szCs w:val="26"/>
        </w:rPr>
        <w:t xml:space="preserve">Cybersecurity Research &amp; Defensive Architecture</w:t>
      </w:r>
    </w:p>
    <w:p>
      <w:pPr>
        <w:spacing w:after="200"/>
        <w:jc w:val="center"/>
      </w:pPr>
      <w:r>
        <w:rPr>
          <w:rFonts w:ascii="Arial" w:cs="Arial" w:eastAsia="Arial" w:hAnsi="Arial"/>
          <w:i/>
          <w:iCs/>
          <w:color w:val="7F8C8D"/>
          <w:sz w:val="24"/>
          <w:szCs w:val="24"/>
        </w:rPr>
        <w:t xml:space="preserve">Curriculum Reference Book</w:t>
      </w:r>
    </w:p>
    <w:p>
      <w:pPr>
        <w:jc w:val="center"/>
      </w:pPr>
      <w:r>
        <w:rPr>
          <w:rFonts w:ascii="Arial" w:cs="Arial" w:eastAsia="Arial" w:hAnsi="Arial"/>
          <w:color w:val="2C3E50"/>
          <w:sz w:val="20"/>
          <w:szCs w:val="20"/>
        </w:rPr>
        <w:t xml:space="preserve">Modules 1–12 · Labs 1–6 · Appendices</w:t>
      </w:r>
    </w:p>
    <w:p>
      <w:pPr>
        <w:spacing w:after="240"/>
      </w:pPr>
      <w:r>
        <w:rPr>
          <w:rFonts w:ascii="Arial" w:cs="Arial" w:eastAsia="Arial" w:hAnsi="Arial"/>
          <w:sz w:val="20"/>
          <w:szCs w:val="20"/>
        </w:rPr>
        <w:t xml:space="preserve"> </w:t>
      </w:r>
    </w:p>
    <w:p>
      <w:pPr>
        <w:jc w:val="center"/>
      </w:pPr>
      <w:r>
        <w:rPr>
          <w:rFonts w:ascii="Arial" w:cs="Arial" w:eastAsia="Arial" w:hAnsi="Arial"/>
          <w:i/>
          <w:iCs/>
          <w:color w:val="7F8C8D"/>
          <w:sz w:val="18"/>
          <w:szCs w:val="18"/>
        </w:rPr>
        <w:t xml:space="preserve">Version 1.0  ·  Research-Grade Educational Content  ·  2026</w:t>
      </w:r>
    </w:p>
    <w:p>
      <w:pPr>
        <w:jc w:val="center"/>
      </w:pPr>
      <w:r>
        <w:rPr>
          <w:rFonts w:ascii="Arial" w:cs="Arial" w:eastAsia="Arial" w:hAnsi="Arial"/>
          <w:color w:val="2E86AB"/>
          <w:sz w:val="18"/>
          <w:szCs w:val="18"/>
        </w:rPr>
        <w:t xml:space="preserve">Instructor Contact: mrwhite4939@gmail.com</w:t>
      </w:r>
    </w:p>
    <w:p>
      <w:pPr>
        <w:spacing w:after="720"/>
      </w:pPr>
      <w:r>
        <w:rPr>
          <w:rFonts w:ascii="Arial" w:cs="Arial" w:eastAsia="Arial" w:hAnsi="Arial"/>
          <w:sz w:val="20"/>
          <w:szCs w:val="20"/>
        </w:rPr>
        <w:t xml:space="preserve"> </w:t>
      </w:r>
    </w:p>
    <w:p>
      <w:pPr>
        <w:pStyle w:val="Heading1"/>
        <w:pBdr>
          <w:bottom w:val="single" w:color="00AEEF" w:sz="6" w:space="4"/>
        </w:pBdr>
        <w:spacing w:before="400" w:after="200"/>
      </w:pPr>
      <w:r>
        <w:rPr>
          <w:rFonts w:ascii="Arial" w:cs="Arial" w:eastAsia="Arial" w:hAnsi="Arial"/>
          <w:b/>
          <w:bCs/>
          <w:color w:val="0F3460"/>
          <w:sz w:val="32"/>
          <w:szCs w:val="32"/>
        </w:rPr>
        <w:t xml:space="preserve">Table of Contents</w:t>
      </w:r>
    </w:p>
    <w:p>
      <w:pPr>
        <w:spacing w:before="160" w:after="80"/>
      </w:pPr>
      <w:r>
        <w:rPr>
          <w:rFonts w:ascii="Arial" w:cs="Arial" w:eastAsia="Arial" w:hAnsi="Arial"/>
          <w:b/>
          <w:bCs/>
          <w:color w:val="0F3460"/>
          <w:sz w:val="20"/>
          <w:szCs w:val="20"/>
        </w:rPr>
        <w:t xml:space="preserve">PART I: FOUNDATION</w:t>
      </w:r>
    </w:p>
    <w:p>
      <w:pPr>
        <w:tabs>
          <w:tab w:val="right" w:pos="8640"/>
        </w:tabs>
        <w:spacing w:after="60"/>
      </w:pPr>
      <w:r>
        <w:rPr>
          <w:rFonts w:ascii="Arial" w:cs="Arial" w:eastAsia="Arial" w:hAnsi="Arial"/>
          <w:color w:val="2C3E50"/>
          <w:sz w:val="20"/>
          <w:szCs w:val="20"/>
        </w:rPr>
        <w:t xml:space="preserve">Module 1 — The Execution Model</w:t>
      </w:r>
      <w:r>
        <w:rPr>
          <w:rFonts w:ascii="Arial" w:cs="Arial" w:eastAsia="Arial" w:hAnsi="Arial"/>
          <w:color w:val="7F8C8D"/>
          <w:sz w:val="20"/>
          <w:szCs w:val="20"/>
        </w:rPr>
        <w:t xml:space="preserve">	2</w:t>
      </w:r>
    </w:p>
    <w:p>
      <w:pPr>
        <w:tabs>
          <w:tab w:val="right" w:pos="8640"/>
        </w:tabs>
        <w:spacing w:after="60"/>
      </w:pPr>
      <w:r>
        <w:rPr>
          <w:rFonts w:ascii="Arial" w:cs="Arial" w:eastAsia="Arial" w:hAnsi="Arial"/>
          <w:color w:val="2C3E50"/>
          <w:sz w:val="20"/>
          <w:szCs w:val="20"/>
        </w:rPr>
        <w:t xml:space="preserve">  1.1 Learning Objectives</w:t>
      </w:r>
      <w:r>
        <w:rPr>
          <w:rFonts w:ascii="Arial" w:cs="Arial" w:eastAsia="Arial" w:hAnsi="Arial"/>
          <w:color w:val="7F8C8D"/>
          <w:sz w:val="20"/>
          <w:szCs w:val="20"/>
        </w:rPr>
        <w:t xml:space="preserve">	2</w:t>
      </w:r>
    </w:p>
    <w:p>
      <w:pPr>
        <w:tabs>
          <w:tab w:val="right" w:pos="8640"/>
        </w:tabs>
        <w:spacing w:after="60"/>
      </w:pPr>
      <w:r>
        <w:rPr>
          <w:rFonts w:ascii="Arial" w:cs="Arial" w:eastAsia="Arial" w:hAnsi="Arial"/>
          <w:color w:val="2C3E50"/>
          <w:sz w:val="20"/>
          <w:szCs w:val="20"/>
        </w:rPr>
        <w:t xml:space="preserve">  1.2 From Binary to Process</w:t>
      </w:r>
      <w:r>
        <w:rPr>
          <w:rFonts w:ascii="Arial" w:cs="Arial" w:eastAsia="Arial" w:hAnsi="Arial"/>
          <w:color w:val="7F8C8D"/>
          <w:sz w:val="20"/>
          <w:szCs w:val="20"/>
        </w:rPr>
        <w:t xml:space="preserve">	2</w:t>
      </w:r>
    </w:p>
    <w:p>
      <w:pPr>
        <w:tabs>
          <w:tab w:val="right" w:pos="8640"/>
        </w:tabs>
        <w:spacing w:after="60"/>
      </w:pPr>
      <w:r>
        <w:rPr>
          <w:rFonts w:ascii="Arial" w:cs="Arial" w:eastAsia="Arial" w:hAnsi="Arial"/>
          <w:color w:val="2C3E50"/>
          <w:sz w:val="20"/>
          <w:szCs w:val="20"/>
        </w:rPr>
        <w:t xml:space="preserve">  1.3 Virtual Address Space</w:t>
      </w:r>
      <w:r>
        <w:rPr>
          <w:rFonts w:ascii="Arial" w:cs="Arial" w:eastAsia="Arial" w:hAnsi="Arial"/>
          <w:color w:val="7F8C8D"/>
          <w:sz w:val="20"/>
          <w:szCs w:val="20"/>
        </w:rPr>
        <w:t xml:space="preserve">	3</w:t>
      </w:r>
    </w:p>
    <w:p>
      <w:pPr>
        <w:tabs>
          <w:tab w:val="right" w:pos="8640"/>
        </w:tabs>
        <w:spacing w:after="60"/>
      </w:pPr>
      <w:r>
        <w:rPr>
          <w:rFonts w:ascii="Arial" w:cs="Arial" w:eastAsia="Arial" w:hAnsi="Arial"/>
          <w:color w:val="2C3E50"/>
          <w:sz w:val="20"/>
          <w:szCs w:val="20"/>
        </w:rPr>
        <w:t xml:space="preserve">  1.4 Register Architecture</w:t>
      </w:r>
      <w:r>
        <w:rPr>
          <w:rFonts w:ascii="Arial" w:cs="Arial" w:eastAsia="Arial" w:hAnsi="Arial"/>
          <w:color w:val="7F8C8D"/>
          <w:sz w:val="20"/>
          <w:szCs w:val="20"/>
        </w:rPr>
        <w:t xml:space="preserve">	3</w:t>
      </w:r>
    </w:p>
    <w:p>
      <w:pPr>
        <w:tabs>
          <w:tab w:val="right" w:pos="8640"/>
        </w:tabs>
        <w:spacing w:after="60"/>
      </w:pPr>
      <w:r>
        <w:rPr>
          <w:rFonts w:ascii="Arial" w:cs="Arial" w:eastAsia="Arial" w:hAnsi="Arial"/>
          <w:color w:val="2C3E50"/>
          <w:sz w:val="20"/>
          <w:szCs w:val="20"/>
        </w:rPr>
        <w:t xml:space="preserve">  1.5 Privilege Rings &amp; Syscall Interface</w:t>
      </w:r>
      <w:r>
        <w:rPr>
          <w:rFonts w:ascii="Arial" w:cs="Arial" w:eastAsia="Arial" w:hAnsi="Arial"/>
          <w:color w:val="7F8C8D"/>
          <w:sz w:val="20"/>
          <w:szCs w:val="20"/>
        </w:rPr>
        <w:t xml:space="preserve">	4</w:t>
      </w:r>
    </w:p>
    <w:p>
      <w:pPr>
        <w:tabs>
          <w:tab w:val="right" w:pos="8640"/>
        </w:tabs>
        <w:spacing w:after="60"/>
      </w:pPr>
      <w:r>
        <w:rPr>
          <w:rFonts w:ascii="Arial" w:cs="Arial" w:eastAsia="Arial" w:hAnsi="Arial"/>
          <w:color w:val="2C3E50"/>
          <w:sz w:val="20"/>
          <w:szCs w:val="20"/>
        </w:rPr>
        <w:t xml:space="preserve">  1.6 Lab Exercise: Mapping /proc/maps</w:t>
      </w:r>
      <w:r>
        <w:rPr>
          <w:rFonts w:ascii="Arial" w:cs="Arial" w:eastAsia="Arial" w:hAnsi="Arial"/>
          <w:color w:val="7F8C8D"/>
          <w:sz w:val="20"/>
          <w:szCs w:val="20"/>
        </w:rPr>
        <w:t xml:space="preserve">	4</w:t>
      </w:r>
    </w:p>
    <w:p>
      <w:pPr>
        <w:tabs>
          <w:tab w:val="right" w:pos="8640"/>
        </w:tabs>
        <w:spacing w:after="60"/>
      </w:pPr>
      <w:r>
        <w:rPr>
          <w:rFonts w:ascii="Arial" w:cs="Arial" w:eastAsia="Arial" w:hAnsi="Arial"/>
          <w:color w:val="2C3E50"/>
          <w:sz w:val="20"/>
          <w:szCs w:val="20"/>
        </w:rPr>
        <w:t xml:space="preserve">Module 2 — Stack Analysis</w:t>
      </w:r>
      <w:r>
        <w:rPr>
          <w:rFonts w:ascii="Arial" w:cs="Arial" w:eastAsia="Arial" w:hAnsi="Arial"/>
          <w:color w:val="7F8C8D"/>
          <w:sz w:val="20"/>
          <w:szCs w:val="20"/>
        </w:rPr>
        <w:t xml:space="preserve">	5</w:t>
      </w:r>
    </w:p>
    <w:p>
      <w:pPr>
        <w:tabs>
          <w:tab w:val="right" w:pos="8640"/>
        </w:tabs>
        <w:spacing w:after="60"/>
      </w:pPr>
      <w:r>
        <w:rPr>
          <w:rFonts w:ascii="Arial" w:cs="Arial" w:eastAsia="Arial" w:hAnsi="Arial"/>
          <w:color w:val="2C3E50"/>
          <w:sz w:val="20"/>
          <w:szCs w:val="20"/>
        </w:rPr>
        <w:t xml:space="preserve">  2.1 The ABI Stack Contract</w:t>
      </w:r>
      <w:r>
        <w:rPr>
          <w:rFonts w:ascii="Arial" w:cs="Arial" w:eastAsia="Arial" w:hAnsi="Arial"/>
          <w:color w:val="7F8C8D"/>
          <w:sz w:val="20"/>
          <w:szCs w:val="20"/>
        </w:rPr>
        <w:t xml:space="preserve">	5</w:t>
      </w:r>
    </w:p>
    <w:p>
      <w:pPr>
        <w:tabs>
          <w:tab w:val="right" w:pos="8640"/>
        </w:tabs>
        <w:spacing w:after="60"/>
      </w:pPr>
      <w:r>
        <w:rPr>
          <w:rFonts w:ascii="Arial" w:cs="Arial" w:eastAsia="Arial" w:hAnsi="Arial"/>
          <w:color w:val="2C3E50"/>
          <w:sz w:val="20"/>
          <w:szCs w:val="20"/>
        </w:rPr>
        <w:t xml:space="preserve">  2.2 Frame Construction Step-by-Step</w:t>
      </w:r>
      <w:r>
        <w:rPr>
          <w:rFonts w:ascii="Arial" w:cs="Arial" w:eastAsia="Arial" w:hAnsi="Arial"/>
          <w:color w:val="7F8C8D"/>
          <w:sz w:val="20"/>
          <w:szCs w:val="20"/>
        </w:rPr>
        <w:t xml:space="preserve">	5</w:t>
      </w:r>
    </w:p>
    <w:p>
      <w:pPr>
        <w:tabs>
          <w:tab w:val="right" w:pos="8640"/>
        </w:tabs>
        <w:spacing w:after="60"/>
      </w:pPr>
      <w:r>
        <w:rPr>
          <w:rFonts w:ascii="Arial" w:cs="Arial" w:eastAsia="Arial" w:hAnsi="Arial"/>
          <w:color w:val="2C3E50"/>
          <w:sz w:val="20"/>
          <w:szCs w:val="20"/>
        </w:rPr>
        <w:t xml:space="preserve">  2.3 Calling Conventions</w:t>
      </w:r>
      <w:r>
        <w:rPr>
          <w:rFonts w:ascii="Arial" w:cs="Arial" w:eastAsia="Arial" w:hAnsi="Arial"/>
          <w:color w:val="7F8C8D"/>
          <w:sz w:val="20"/>
          <w:szCs w:val="20"/>
        </w:rPr>
        <w:t xml:space="preserve">	6</w:t>
      </w:r>
    </w:p>
    <w:p>
      <w:pPr>
        <w:tabs>
          <w:tab w:val="right" w:pos="8640"/>
        </w:tabs>
        <w:spacing w:after="60"/>
      </w:pPr>
      <w:r>
        <w:rPr>
          <w:rFonts w:ascii="Arial" w:cs="Arial" w:eastAsia="Arial" w:hAnsi="Arial"/>
          <w:color w:val="2C3E50"/>
          <w:sz w:val="20"/>
          <w:szCs w:val="20"/>
        </w:rPr>
        <w:t xml:space="preserve">  2.4 Stack Mitigations: Canary, ASLR, NX</w:t>
      </w:r>
      <w:r>
        <w:rPr>
          <w:rFonts w:ascii="Arial" w:cs="Arial" w:eastAsia="Arial" w:hAnsi="Arial"/>
          <w:color w:val="7F8C8D"/>
          <w:sz w:val="20"/>
          <w:szCs w:val="20"/>
        </w:rPr>
        <w:t xml:space="preserve">	6</w:t>
      </w:r>
    </w:p>
    <w:p>
      <w:pPr>
        <w:tabs>
          <w:tab w:val="right" w:pos="8640"/>
        </w:tabs>
        <w:spacing w:after="60"/>
      </w:pPr>
      <w:r>
        <w:rPr>
          <w:rFonts w:ascii="Arial" w:cs="Arial" w:eastAsia="Arial" w:hAnsi="Arial"/>
          <w:color w:val="2C3E50"/>
          <w:sz w:val="20"/>
          <w:szCs w:val="20"/>
        </w:rPr>
        <w:t xml:space="preserve">  2.5 Lab Exercise: Live Frame Inspection</w:t>
      </w:r>
      <w:r>
        <w:rPr>
          <w:rFonts w:ascii="Arial" w:cs="Arial" w:eastAsia="Arial" w:hAnsi="Arial"/>
          <w:color w:val="7F8C8D"/>
          <w:sz w:val="20"/>
          <w:szCs w:val="20"/>
        </w:rPr>
        <w:t xml:space="preserve">	7</w:t>
      </w:r>
    </w:p>
    <w:p>
      <w:pPr>
        <w:tabs>
          <w:tab w:val="right" w:pos="8640"/>
        </w:tabs>
        <w:spacing w:after="60"/>
      </w:pPr>
      <w:r>
        <w:rPr>
          <w:rFonts w:ascii="Arial" w:cs="Arial" w:eastAsia="Arial" w:hAnsi="Arial"/>
          <w:color w:val="2C3E50"/>
          <w:sz w:val="20"/>
          <w:szCs w:val="20"/>
        </w:rPr>
        <w:t xml:space="preserve">Module 3 — Opcode Study</w:t>
      </w:r>
      <w:r>
        <w:rPr>
          <w:rFonts w:ascii="Arial" w:cs="Arial" w:eastAsia="Arial" w:hAnsi="Arial"/>
          <w:color w:val="7F8C8D"/>
          <w:sz w:val="20"/>
          <w:szCs w:val="20"/>
        </w:rPr>
        <w:t xml:space="preserve">	8</w:t>
      </w:r>
    </w:p>
    <w:p>
      <w:pPr>
        <w:tabs>
          <w:tab w:val="right" w:pos="8640"/>
        </w:tabs>
        <w:spacing w:after="60"/>
      </w:pPr>
      <w:r>
        <w:rPr>
          <w:rFonts w:ascii="Arial" w:cs="Arial" w:eastAsia="Arial" w:hAnsi="Arial"/>
          <w:color w:val="2C3E50"/>
          <w:sz w:val="20"/>
          <w:szCs w:val="20"/>
        </w:rPr>
        <w:t xml:space="preserve">  3.1 x86-64 Encoding Model</w:t>
      </w:r>
      <w:r>
        <w:rPr>
          <w:rFonts w:ascii="Arial" w:cs="Arial" w:eastAsia="Arial" w:hAnsi="Arial"/>
          <w:color w:val="7F8C8D"/>
          <w:sz w:val="20"/>
          <w:szCs w:val="20"/>
        </w:rPr>
        <w:t xml:space="preserve">	8</w:t>
      </w:r>
    </w:p>
    <w:p>
      <w:pPr>
        <w:tabs>
          <w:tab w:val="right" w:pos="8640"/>
        </w:tabs>
        <w:spacing w:after="60"/>
      </w:pPr>
      <w:r>
        <w:rPr>
          <w:rFonts w:ascii="Arial" w:cs="Arial" w:eastAsia="Arial" w:hAnsi="Arial"/>
          <w:color w:val="2C3E50"/>
          <w:sz w:val="20"/>
          <w:szCs w:val="20"/>
        </w:rPr>
        <w:t xml:space="preserve">  3.2 Security-Relevant Instruction Patterns</w:t>
      </w:r>
      <w:r>
        <w:rPr>
          <w:rFonts w:ascii="Arial" w:cs="Arial" w:eastAsia="Arial" w:hAnsi="Arial"/>
          <w:color w:val="7F8C8D"/>
          <w:sz w:val="20"/>
          <w:szCs w:val="20"/>
        </w:rPr>
        <w:t xml:space="preserve">	8</w:t>
      </w:r>
    </w:p>
    <w:p>
      <w:pPr>
        <w:tabs>
          <w:tab w:val="right" w:pos="8640"/>
        </w:tabs>
        <w:spacing w:after="60"/>
      </w:pPr>
      <w:r>
        <w:rPr>
          <w:rFonts w:ascii="Arial" w:cs="Arial" w:eastAsia="Arial" w:hAnsi="Arial"/>
          <w:color w:val="2C3E50"/>
          <w:sz w:val="20"/>
          <w:szCs w:val="20"/>
        </w:rPr>
        <w:t xml:space="preserve">  3.3 Call Type Taxonomy</w:t>
      </w:r>
      <w:r>
        <w:rPr>
          <w:rFonts w:ascii="Arial" w:cs="Arial" w:eastAsia="Arial" w:hAnsi="Arial"/>
          <w:color w:val="7F8C8D"/>
          <w:sz w:val="20"/>
          <w:szCs w:val="20"/>
        </w:rPr>
        <w:t xml:space="preserve">	9</w:t>
      </w:r>
    </w:p>
    <w:p>
      <w:pPr>
        <w:tabs>
          <w:tab w:val="right" w:pos="8640"/>
        </w:tabs>
        <w:spacing w:after="60"/>
      </w:pPr>
      <w:r>
        <w:rPr>
          <w:rFonts w:ascii="Arial" w:cs="Arial" w:eastAsia="Arial" w:hAnsi="Arial"/>
          <w:color w:val="2C3E50"/>
          <w:sz w:val="20"/>
          <w:szCs w:val="20"/>
        </w:rPr>
        <w:t xml:space="preserve">  3.4 Lab Exercise: Manual Disassembly</w:t>
      </w:r>
      <w:r>
        <w:rPr>
          <w:rFonts w:ascii="Arial" w:cs="Arial" w:eastAsia="Arial" w:hAnsi="Arial"/>
          <w:color w:val="7F8C8D"/>
          <w:sz w:val="20"/>
          <w:szCs w:val="20"/>
        </w:rPr>
        <w:t xml:space="preserve">	9</w:t>
      </w:r>
    </w:p>
    <w:p>
      <w:pPr>
        <w:tabs>
          <w:tab w:val="right" w:pos="8640"/>
        </w:tabs>
        <w:spacing w:after="60"/>
      </w:pPr>
      <w:r>
        <w:rPr>
          <w:rFonts w:ascii="Arial" w:cs="Arial" w:eastAsia="Arial" w:hAnsi="Arial"/>
          <w:color w:val="2C3E50"/>
          <w:sz w:val="20"/>
          <w:szCs w:val="20"/>
        </w:rPr>
        <w:t xml:space="preserve">Module 4 — Control Flow Graph Reconstruction</w:t>
      </w:r>
      <w:r>
        <w:rPr>
          <w:rFonts w:ascii="Arial" w:cs="Arial" w:eastAsia="Arial" w:hAnsi="Arial"/>
          <w:color w:val="7F8C8D"/>
          <w:sz w:val="20"/>
          <w:szCs w:val="20"/>
        </w:rPr>
        <w:t xml:space="preserve">	10</w:t>
      </w:r>
    </w:p>
    <w:p>
      <w:pPr>
        <w:tabs>
          <w:tab w:val="right" w:pos="8640"/>
        </w:tabs>
        <w:spacing w:after="60"/>
      </w:pPr>
      <w:r>
        <w:rPr>
          <w:rFonts w:ascii="Arial" w:cs="Arial" w:eastAsia="Arial" w:hAnsi="Arial"/>
          <w:color w:val="2C3E50"/>
          <w:sz w:val="20"/>
          <w:szCs w:val="20"/>
        </w:rPr>
        <w:t xml:space="preserve">  4.1 Basic Blocks and CFG Theory</w:t>
      </w:r>
      <w:r>
        <w:rPr>
          <w:rFonts w:ascii="Arial" w:cs="Arial" w:eastAsia="Arial" w:hAnsi="Arial"/>
          <w:color w:val="7F8C8D"/>
          <w:sz w:val="20"/>
          <w:szCs w:val="20"/>
        </w:rPr>
        <w:t xml:space="preserve">	10</w:t>
      </w:r>
    </w:p>
    <w:p>
      <w:pPr>
        <w:tabs>
          <w:tab w:val="right" w:pos="8640"/>
        </w:tabs>
        <w:spacing w:after="60"/>
      </w:pPr>
      <w:r>
        <w:rPr>
          <w:rFonts w:ascii="Arial" w:cs="Arial" w:eastAsia="Arial" w:hAnsi="Arial"/>
          <w:color w:val="2C3E50"/>
          <w:sz w:val="20"/>
          <w:szCs w:val="20"/>
        </w:rPr>
        <w:t xml:space="preserve">  4.2 Edge Types and Security Profiles</w:t>
      </w:r>
      <w:r>
        <w:rPr>
          <w:rFonts w:ascii="Arial" w:cs="Arial" w:eastAsia="Arial" w:hAnsi="Arial"/>
          <w:color w:val="7F8C8D"/>
          <w:sz w:val="20"/>
          <w:szCs w:val="20"/>
        </w:rPr>
        <w:t xml:space="preserve">	10</w:t>
      </w:r>
    </w:p>
    <w:p>
      <w:pPr>
        <w:tabs>
          <w:tab w:val="right" w:pos="8640"/>
        </w:tabs>
        <w:spacing w:after="60"/>
      </w:pPr>
      <w:r>
        <w:rPr>
          <w:rFonts w:ascii="Arial" w:cs="Arial" w:eastAsia="Arial" w:hAnsi="Arial"/>
          <w:color w:val="2C3E50"/>
          <w:sz w:val="20"/>
          <w:szCs w:val="20"/>
        </w:rPr>
        <w:t xml:space="preserve">  4.3 Ghidra CFG Analysis</w:t>
      </w:r>
      <w:r>
        <w:rPr>
          <w:rFonts w:ascii="Arial" w:cs="Arial" w:eastAsia="Arial" w:hAnsi="Arial"/>
          <w:color w:val="7F8C8D"/>
          <w:sz w:val="20"/>
          <w:szCs w:val="20"/>
        </w:rPr>
        <w:t xml:space="preserve">	11</w:t>
      </w:r>
    </w:p>
    <w:p>
      <w:pPr>
        <w:tabs>
          <w:tab w:val="right" w:pos="8640"/>
        </w:tabs>
        <w:spacing w:after="60"/>
      </w:pPr>
      <w:r>
        <w:rPr>
          <w:rFonts w:ascii="Arial" w:cs="Arial" w:eastAsia="Arial" w:hAnsi="Arial"/>
          <w:color w:val="2C3E50"/>
          <w:sz w:val="20"/>
          <w:szCs w:val="20"/>
        </w:rPr>
        <w:t xml:space="preserve">  4.4 CFI and Coverage-Guided Fuzzing</w:t>
      </w:r>
      <w:r>
        <w:rPr>
          <w:rFonts w:ascii="Arial" w:cs="Arial" w:eastAsia="Arial" w:hAnsi="Arial"/>
          <w:color w:val="7F8C8D"/>
          <w:sz w:val="20"/>
          <w:szCs w:val="20"/>
        </w:rPr>
        <w:t xml:space="preserve">	11</w:t>
      </w:r>
    </w:p>
    <w:p>
      <w:pPr>
        <w:spacing w:before="160" w:after="80"/>
      </w:pPr>
      <w:r>
        <w:rPr>
          <w:rFonts w:ascii="Arial" w:cs="Arial" w:eastAsia="Arial" w:hAnsi="Arial"/>
          <w:b/>
          <w:bCs/>
          <w:color w:val="0F3460"/>
          <w:sz w:val="20"/>
          <w:szCs w:val="20"/>
        </w:rPr>
        <w:t xml:space="preserve">PART II: SYSTEMS SECURITY</w:t>
      </w:r>
    </w:p>
    <w:p>
      <w:pPr>
        <w:tabs>
          <w:tab w:val="right" w:pos="8640"/>
        </w:tabs>
        <w:spacing w:after="60"/>
      </w:pPr>
      <w:r>
        <w:rPr>
          <w:rFonts w:ascii="Arial" w:cs="Arial" w:eastAsia="Arial" w:hAnsi="Arial"/>
          <w:color w:val="2C3E50"/>
          <w:sz w:val="20"/>
          <w:szCs w:val="20"/>
        </w:rPr>
        <w:t xml:space="preserve">Module 5 — Memory Failure Autopsy</w:t>
      </w:r>
      <w:r>
        <w:rPr>
          <w:rFonts w:ascii="Arial" w:cs="Arial" w:eastAsia="Arial" w:hAnsi="Arial"/>
          <w:color w:val="7F8C8D"/>
          <w:sz w:val="20"/>
          <w:szCs w:val="20"/>
        </w:rPr>
        <w:t xml:space="preserve">	12</w:t>
      </w:r>
    </w:p>
    <w:p>
      <w:pPr>
        <w:tabs>
          <w:tab w:val="right" w:pos="8640"/>
        </w:tabs>
        <w:spacing w:after="60"/>
      </w:pPr>
      <w:r>
        <w:rPr>
          <w:rFonts w:ascii="Arial" w:cs="Arial" w:eastAsia="Arial" w:hAnsi="Arial"/>
          <w:color w:val="2C3E50"/>
          <w:sz w:val="20"/>
          <w:szCs w:val="20"/>
        </w:rPr>
        <w:t xml:space="preserve">  5.1 Crash Signal Taxonomy</w:t>
      </w:r>
      <w:r>
        <w:rPr>
          <w:rFonts w:ascii="Arial" w:cs="Arial" w:eastAsia="Arial" w:hAnsi="Arial"/>
          <w:color w:val="7F8C8D"/>
          <w:sz w:val="20"/>
          <w:szCs w:val="20"/>
        </w:rPr>
        <w:t xml:space="preserve">	12</w:t>
      </w:r>
    </w:p>
    <w:p>
      <w:pPr>
        <w:tabs>
          <w:tab w:val="right" w:pos="8640"/>
        </w:tabs>
        <w:spacing w:after="60"/>
      </w:pPr>
      <w:r>
        <w:rPr>
          <w:rFonts w:ascii="Arial" w:cs="Arial" w:eastAsia="Arial" w:hAnsi="Arial"/>
          <w:color w:val="2C3E50"/>
          <w:sz w:val="20"/>
          <w:szCs w:val="20"/>
        </w:rPr>
        <w:t xml:space="preserve">  5.2 ASan Report Interpretation</w:t>
      </w:r>
      <w:r>
        <w:rPr>
          <w:rFonts w:ascii="Arial" w:cs="Arial" w:eastAsia="Arial" w:hAnsi="Arial"/>
          <w:color w:val="7F8C8D"/>
          <w:sz w:val="20"/>
          <w:szCs w:val="20"/>
        </w:rPr>
        <w:t xml:space="preserve">	12</w:t>
      </w:r>
    </w:p>
    <w:p>
      <w:pPr>
        <w:tabs>
          <w:tab w:val="right" w:pos="8640"/>
        </w:tabs>
        <w:spacing w:after="60"/>
      </w:pPr>
      <w:r>
        <w:rPr>
          <w:rFonts w:ascii="Arial" w:cs="Arial" w:eastAsia="Arial" w:hAnsi="Arial"/>
          <w:color w:val="2C3E50"/>
          <w:sz w:val="20"/>
          <w:szCs w:val="20"/>
        </w:rPr>
        <w:t xml:space="preserve">  5.3 Use-After-Free Analysis</w:t>
      </w:r>
      <w:r>
        <w:rPr>
          <w:rFonts w:ascii="Arial" w:cs="Arial" w:eastAsia="Arial" w:hAnsi="Arial"/>
          <w:color w:val="7F8C8D"/>
          <w:sz w:val="20"/>
          <w:szCs w:val="20"/>
        </w:rPr>
        <w:t xml:space="preserve">	13</w:t>
      </w:r>
    </w:p>
    <w:p>
      <w:pPr>
        <w:tabs>
          <w:tab w:val="right" w:pos="8640"/>
        </w:tabs>
        <w:spacing w:after="60"/>
      </w:pPr>
      <w:r>
        <w:rPr>
          <w:rFonts w:ascii="Arial" w:cs="Arial" w:eastAsia="Arial" w:hAnsi="Arial"/>
          <w:color w:val="2C3E50"/>
          <w:sz w:val="20"/>
          <w:szCs w:val="20"/>
        </w:rPr>
        <w:t xml:space="preserve">  5.4 Stack Crash Signatures</w:t>
      </w:r>
      <w:r>
        <w:rPr>
          <w:rFonts w:ascii="Arial" w:cs="Arial" w:eastAsia="Arial" w:hAnsi="Arial"/>
          <w:color w:val="7F8C8D"/>
          <w:sz w:val="20"/>
          <w:szCs w:val="20"/>
        </w:rPr>
        <w:t xml:space="preserve">	13</w:t>
      </w:r>
    </w:p>
    <w:p>
      <w:pPr>
        <w:tabs>
          <w:tab w:val="right" w:pos="8640"/>
        </w:tabs>
        <w:spacing w:after="60"/>
      </w:pPr>
      <w:r>
        <w:rPr>
          <w:rFonts w:ascii="Arial" w:cs="Arial" w:eastAsia="Arial" w:hAnsi="Arial"/>
          <w:color w:val="2C3E50"/>
          <w:sz w:val="20"/>
          <w:szCs w:val="20"/>
        </w:rPr>
        <w:t xml:space="preserve">  5.5 Failure Analysis Report Structure</w:t>
      </w:r>
      <w:r>
        <w:rPr>
          <w:rFonts w:ascii="Arial" w:cs="Arial" w:eastAsia="Arial" w:hAnsi="Arial"/>
          <w:color w:val="7F8C8D"/>
          <w:sz w:val="20"/>
          <w:szCs w:val="20"/>
        </w:rPr>
        <w:t xml:space="preserve">	14</w:t>
      </w:r>
    </w:p>
    <w:p>
      <w:pPr>
        <w:tabs>
          <w:tab w:val="right" w:pos="8640"/>
        </w:tabs>
        <w:spacing w:after="60"/>
      </w:pPr>
      <w:r>
        <w:rPr>
          <w:rFonts w:ascii="Arial" w:cs="Arial" w:eastAsia="Arial" w:hAnsi="Arial"/>
          <w:color w:val="2C3E50"/>
          <w:sz w:val="20"/>
          <w:szCs w:val="20"/>
        </w:rPr>
        <w:t xml:space="preserve">Module 6 — Mitigation Modeling</w:t>
      </w:r>
      <w:r>
        <w:rPr>
          <w:rFonts w:ascii="Arial" w:cs="Arial" w:eastAsia="Arial" w:hAnsi="Arial"/>
          <w:color w:val="7F8C8D"/>
          <w:sz w:val="20"/>
          <w:szCs w:val="20"/>
        </w:rPr>
        <w:t xml:space="preserve">	15</w:t>
      </w:r>
    </w:p>
    <w:p>
      <w:pPr>
        <w:tabs>
          <w:tab w:val="right" w:pos="8640"/>
        </w:tabs>
        <w:spacing w:after="60"/>
      </w:pPr>
      <w:r>
        <w:rPr>
          <w:rFonts w:ascii="Arial" w:cs="Arial" w:eastAsia="Arial" w:hAnsi="Arial"/>
          <w:color w:val="2C3E50"/>
          <w:sz w:val="20"/>
          <w:szCs w:val="20"/>
        </w:rPr>
        <w:t xml:space="preserve">  6.1 The Modern Linux Mitigation Stack</w:t>
      </w:r>
      <w:r>
        <w:rPr>
          <w:rFonts w:ascii="Arial" w:cs="Arial" w:eastAsia="Arial" w:hAnsi="Arial"/>
          <w:color w:val="7F8C8D"/>
          <w:sz w:val="20"/>
          <w:szCs w:val="20"/>
        </w:rPr>
        <w:t xml:space="preserve">	15</w:t>
      </w:r>
    </w:p>
    <w:p>
      <w:pPr>
        <w:tabs>
          <w:tab w:val="right" w:pos="8640"/>
        </w:tabs>
        <w:spacing w:after="60"/>
      </w:pPr>
      <w:r>
        <w:rPr>
          <w:rFonts w:ascii="Arial" w:cs="Arial" w:eastAsia="Arial" w:hAnsi="Arial"/>
          <w:color w:val="2C3E50"/>
          <w:sz w:val="20"/>
          <w:szCs w:val="20"/>
        </w:rPr>
        <w:t xml:space="preserve">  6.2 Checksec Analysis</w:t>
      </w:r>
      <w:r>
        <w:rPr>
          <w:rFonts w:ascii="Arial" w:cs="Arial" w:eastAsia="Arial" w:hAnsi="Arial"/>
          <w:color w:val="7F8C8D"/>
          <w:sz w:val="20"/>
          <w:szCs w:val="20"/>
        </w:rPr>
        <w:t xml:space="preserve">	15</w:t>
      </w:r>
    </w:p>
    <w:p>
      <w:pPr>
        <w:tabs>
          <w:tab w:val="right" w:pos="8640"/>
        </w:tabs>
        <w:spacing w:after="60"/>
      </w:pPr>
      <w:r>
        <w:rPr>
          <w:rFonts w:ascii="Arial" w:cs="Arial" w:eastAsia="Arial" w:hAnsi="Arial"/>
          <w:color w:val="2C3E50"/>
          <w:sz w:val="20"/>
          <w:szCs w:val="20"/>
        </w:rPr>
        <w:t xml:space="preserve">  6.3 Mitigation Interaction Matrix</w:t>
      </w:r>
      <w:r>
        <w:rPr>
          <w:rFonts w:ascii="Arial" w:cs="Arial" w:eastAsia="Arial" w:hAnsi="Arial"/>
          <w:color w:val="7F8C8D"/>
          <w:sz w:val="20"/>
          <w:szCs w:val="20"/>
        </w:rPr>
        <w:t xml:space="preserve">	16</w:t>
      </w:r>
    </w:p>
    <w:p>
      <w:pPr>
        <w:tabs>
          <w:tab w:val="right" w:pos="8640"/>
        </w:tabs>
        <w:spacing w:after="60"/>
      </w:pPr>
      <w:r>
        <w:rPr>
          <w:rFonts w:ascii="Arial" w:cs="Arial" w:eastAsia="Arial" w:hAnsi="Arial"/>
          <w:color w:val="2C3E50"/>
          <w:sz w:val="20"/>
          <w:szCs w:val="20"/>
        </w:rPr>
        <w:t xml:space="preserve">  6.4 Designing a Layered Defense</w:t>
      </w:r>
      <w:r>
        <w:rPr>
          <w:rFonts w:ascii="Arial" w:cs="Arial" w:eastAsia="Arial" w:hAnsi="Arial"/>
          <w:color w:val="7F8C8D"/>
          <w:sz w:val="20"/>
          <w:szCs w:val="20"/>
        </w:rPr>
        <w:t xml:space="preserve">	16</w:t>
      </w:r>
    </w:p>
    <w:p>
      <w:pPr>
        <w:spacing w:before="160" w:after="80"/>
      </w:pPr>
      <w:r>
        <w:rPr>
          <w:rFonts w:ascii="Arial" w:cs="Arial" w:eastAsia="Arial" w:hAnsi="Arial"/>
          <w:b/>
          <w:bCs/>
          <w:color w:val="0F3460"/>
          <w:sz w:val="20"/>
          <w:szCs w:val="20"/>
        </w:rPr>
        <w:t xml:space="preserve">PART III: VULNERABILITY THEORY</w:t>
      </w:r>
    </w:p>
    <w:p>
      <w:pPr>
        <w:tabs>
          <w:tab w:val="right" w:pos="8640"/>
        </w:tabs>
        <w:spacing w:after="60"/>
      </w:pPr>
      <w:r>
        <w:rPr>
          <w:rFonts w:ascii="Arial" w:cs="Arial" w:eastAsia="Arial" w:hAnsi="Arial"/>
          <w:color w:val="2C3E50"/>
          <w:sz w:val="20"/>
          <w:szCs w:val="20"/>
        </w:rPr>
        <w:t xml:space="preserve">Module 7 — Zero-Day Research Framework</w:t>
      </w:r>
      <w:r>
        <w:rPr>
          <w:rFonts w:ascii="Arial" w:cs="Arial" w:eastAsia="Arial" w:hAnsi="Arial"/>
          <w:color w:val="7F8C8D"/>
          <w:sz w:val="20"/>
          <w:szCs w:val="20"/>
        </w:rPr>
        <w:t xml:space="preserve">	17</w:t>
      </w:r>
    </w:p>
    <w:p>
      <w:pPr>
        <w:tabs>
          <w:tab w:val="right" w:pos="8640"/>
        </w:tabs>
        <w:spacing w:after="60"/>
      </w:pPr>
      <w:r>
        <w:rPr>
          <w:rFonts w:ascii="Arial" w:cs="Arial" w:eastAsia="Arial" w:hAnsi="Arial"/>
          <w:color w:val="2C3E50"/>
          <w:sz w:val="20"/>
          <w:szCs w:val="20"/>
        </w:rPr>
        <w:t xml:space="preserve">  7.1 Research Mindset and Hypothesis Method</w:t>
      </w:r>
      <w:r>
        <w:rPr>
          <w:rFonts w:ascii="Arial" w:cs="Arial" w:eastAsia="Arial" w:hAnsi="Arial"/>
          <w:color w:val="7F8C8D"/>
          <w:sz w:val="20"/>
          <w:szCs w:val="20"/>
        </w:rPr>
        <w:t xml:space="preserve">	17</w:t>
      </w:r>
    </w:p>
    <w:p>
      <w:pPr>
        <w:tabs>
          <w:tab w:val="right" w:pos="8640"/>
        </w:tabs>
        <w:spacing w:after="60"/>
      </w:pPr>
      <w:r>
        <w:rPr>
          <w:rFonts w:ascii="Arial" w:cs="Arial" w:eastAsia="Arial" w:hAnsi="Arial"/>
          <w:color w:val="2C3E50"/>
          <w:sz w:val="20"/>
          <w:szCs w:val="20"/>
        </w:rPr>
        <w:t xml:space="preserve">  7.2 Six Research Phases</w:t>
      </w:r>
      <w:r>
        <w:rPr>
          <w:rFonts w:ascii="Arial" w:cs="Arial" w:eastAsia="Arial" w:hAnsi="Arial"/>
          <w:color w:val="7F8C8D"/>
          <w:sz w:val="20"/>
          <w:szCs w:val="20"/>
        </w:rPr>
        <w:t xml:space="preserve">	17</w:t>
      </w:r>
    </w:p>
    <w:p>
      <w:pPr>
        <w:tabs>
          <w:tab w:val="right" w:pos="8640"/>
        </w:tabs>
        <w:spacing w:after="60"/>
      </w:pPr>
      <w:r>
        <w:rPr>
          <w:rFonts w:ascii="Arial" w:cs="Arial" w:eastAsia="Arial" w:hAnsi="Arial"/>
          <w:color w:val="2C3E50"/>
          <w:sz w:val="20"/>
          <w:szCs w:val="20"/>
        </w:rPr>
        <w:t xml:space="preserve">  7.3 Impact Analysis and CVSS</w:t>
      </w:r>
      <w:r>
        <w:rPr>
          <w:rFonts w:ascii="Arial" w:cs="Arial" w:eastAsia="Arial" w:hAnsi="Arial"/>
          <w:color w:val="7F8C8D"/>
          <w:sz w:val="20"/>
          <w:szCs w:val="20"/>
        </w:rPr>
        <w:t xml:space="preserve">	18</w:t>
      </w:r>
    </w:p>
    <w:p>
      <w:pPr>
        <w:tabs>
          <w:tab w:val="right" w:pos="8640"/>
        </w:tabs>
        <w:spacing w:after="60"/>
      </w:pPr>
      <w:r>
        <w:rPr>
          <w:rFonts w:ascii="Arial" w:cs="Arial" w:eastAsia="Arial" w:hAnsi="Arial"/>
          <w:color w:val="2C3E50"/>
          <w:sz w:val="20"/>
          <w:szCs w:val="20"/>
        </w:rPr>
        <w:t xml:space="preserve">  7.4 Responsible Disclosure Process</w:t>
      </w:r>
      <w:r>
        <w:rPr>
          <w:rFonts w:ascii="Arial" w:cs="Arial" w:eastAsia="Arial" w:hAnsi="Arial"/>
          <w:color w:val="7F8C8D"/>
          <w:sz w:val="20"/>
          <w:szCs w:val="20"/>
        </w:rPr>
        <w:t xml:space="preserve">	18</w:t>
      </w:r>
    </w:p>
    <w:p>
      <w:pPr>
        <w:tabs>
          <w:tab w:val="right" w:pos="8640"/>
        </w:tabs>
        <w:spacing w:after="60"/>
      </w:pPr>
      <w:r>
        <w:rPr>
          <w:rFonts w:ascii="Arial" w:cs="Arial" w:eastAsia="Arial" w:hAnsi="Arial"/>
          <w:color w:val="2C3E50"/>
          <w:sz w:val="20"/>
          <w:szCs w:val="20"/>
        </w:rPr>
        <w:t xml:space="preserve">Module 8 — Secure Design Principles</w:t>
      </w:r>
      <w:r>
        <w:rPr>
          <w:rFonts w:ascii="Arial" w:cs="Arial" w:eastAsia="Arial" w:hAnsi="Arial"/>
          <w:color w:val="7F8C8D"/>
          <w:sz w:val="20"/>
          <w:szCs w:val="20"/>
        </w:rPr>
        <w:t xml:space="preserve">	19</w:t>
      </w:r>
    </w:p>
    <w:p>
      <w:pPr>
        <w:tabs>
          <w:tab w:val="right" w:pos="8640"/>
        </w:tabs>
        <w:spacing w:after="60"/>
      </w:pPr>
      <w:r>
        <w:rPr>
          <w:rFonts w:ascii="Arial" w:cs="Arial" w:eastAsia="Arial" w:hAnsi="Arial"/>
          <w:color w:val="2C3E50"/>
          <w:sz w:val="20"/>
          <w:szCs w:val="20"/>
        </w:rPr>
        <w:t xml:space="preserve">  8.1 Saltzer-Schroeder Principles</w:t>
      </w:r>
      <w:r>
        <w:rPr>
          <w:rFonts w:ascii="Arial" w:cs="Arial" w:eastAsia="Arial" w:hAnsi="Arial"/>
          <w:color w:val="7F8C8D"/>
          <w:sz w:val="20"/>
          <w:szCs w:val="20"/>
        </w:rPr>
        <w:t xml:space="preserve">	19</w:t>
      </w:r>
    </w:p>
    <w:p>
      <w:pPr>
        <w:tabs>
          <w:tab w:val="right" w:pos="8640"/>
        </w:tabs>
        <w:spacing w:after="60"/>
      </w:pPr>
      <w:r>
        <w:rPr>
          <w:rFonts w:ascii="Arial" w:cs="Arial" w:eastAsia="Arial" w:hAnsi="Arial"/>
          <w:color w:val="2C3E50"/>
          <w:sz w:val="20"/>
          <w:szCs w:val="20"/>
        </w:rPr>
        <w:t xml:space="preserve">  8.2 Zero Trust Architecture</w:t>
      </w:r>
      <w:r>
        <w:rPr>
          <w:rFonts w:ascii="Arial" w:cs="Arial" w:eastAsia="Arial" w:hAnsi="Arial"/>
          <w:color w:val="7F8C8D"/>
          <w:sz w:val="20"/>
          <w:szCs w:val="20"/>
        </w:rPr>
        <w:t xml:space="preserve">	20</w:t>
      </w:r>
    </w:p>
    <w:p>
      <w:pPr>
        <w:tabs>
          <w:tab w:val="right" w:pos="8640"/>
        </w:tabs>
        <w:spacing w:after="60"/>
      </w:pPr>
      <w:r>
        <w:rPr>
          <w:rFonts w:ascii="Arial" w:cs="Arial" w:eastAsia="Arial" w:hAnsi="Arial"/>
          <w:color w:val="2C3E50"/>
          <w:sz w:val="20"/>
          <w:szCs w:val="20"/>
        </w:rPr>
        <w:t xml:space="preserve">  8.3 Defense in Depth</w:t>
      </w:r>
      <w:r>
        <w:rPr>
          <w:rFonts w:ascii="Arial" w:cs="Arial" w:eastAsia="Arial" w:hAnsi="Arial"/>
          <w:color w:val="7F8C8D"/>
          <w:sz w:val="20"/>
          <w:szCs w:val="20"/>
        </w:rPr>
        <w:t xml:space="preserve">	20</w:t>
      </w:r>
    </w:p>
    <w:p>
      <w:pPr>
        <w:tabs>
          <w:tab w:val="right" w:pos="8640"/>
        </w:tabs>
        <w:spacing w:after="60"/>
      </w:pPr>
      <w:r>
        <w:rPr>
          <w:rFonts w:ascii="Arial" w:cs="Arial" w:eastAsia="Arial" w:hAnsi="Arial"/>
          <w:color w:val="2C3E50"/>
          <w:sz w:val="20"/>
          <w:szCs w:val="20"/>
        </w:rPr>
        <w:t xml:space="preserve">  8.4 Memory Safety as Architecture</w:t>
      </w:r>
      <w:r>
        <w:rPr>
          <w:rFonts w:ascii="Arial" w:cs="Arial" w:eastAsia="Arial" w:hAnsi="Arial"/>
          <w:color w:val="7F8C8D"/>
          <w:sz w:val="20"/>
          <w:szCs w:val="20"/>
        </w:rPr>
        <w:t xml:space="preserve">	21</w:t>
      </w:r>
    </w:p>
    <w:p>
      <w:pPr>
        <w:spacing w:before="160" w:after="80"/>
      </w:pPr>
      <w:r>
        <w:rPr>
          <w:rFonts w:ascii="Arial" w:cs="Arial" w:eastAsia="Arial" w:hAnsi="Arial"/>
          <w:b/>
          <w:bCs/>
          <w:color w:val="0F3460"/>
          <w:sz w:val="20"/>
          <w:szCs w:val="20"/>
        </w:rPr>
        <w:t xml:space="preserve">PART IV: ADVANCED ANALYSIS</w:t>
      </w:r>
    </w:p>
    <w:p>
      <w:pPr>
        <w:tabs>
          <w:tab w:val="right" w:pos="8640"/>
        </w:tabs>
        <w:spacing w:after="60"/>
      </w:pPr>
      <w:r>
        <w:rPr>
          <w:rFonts w:ascii="Arial" w:cs="Arial" w:eastAsia="Arial" w:hAnsi="Arial"/>
          <w:color w:val="2C3E50"/>
          <w:sz w:val="20"/>
          <w:szCs w:val="20"/>
        </w:rPr>
        <w:t xml:space="preserve">Module 9 — Threat Modeling</w:t>
      </w:r>
      <w:r>
        <w:rPr>
          <w:rFonts w:ascii="Arial" w:cs="Arial" w:eastAsia="Arial" w:hAnsi="Arial"/>
          <w:color w:val="7F8C8D"/>
          <w:sz w:val="20"/>
          <w:szCs w:val="20"/>
        </w:rPr>
        <w:t xml:space="preserve">	22</w:t>
      </w:r>
    </w:p>
    <w:p>
      <w:pPr>
        <w:tabs>
          <w:tab w:val="right" w:pos="8640"/>
        </w:tabs>
        <w:spacing w:after="60"/>
      </w:pPr>
      <w:r>
        <w:rPr>
          <w:rFonts w:ascii="Arial" w:cs="Arial" w:eastAsia="Arial" w:hAnsi="Arial"/>
          <w:color w:val="2C3E50"/>
          <w:sz w:val="20"/>
          <w:szCs w:val="20"/>
        </w:rPr>
        <w:t xml:space="preserve">  9.1 The Four Core Questions</w:t>
      </w:r>
      <w:r>
        <w:rPr>
          <w:rFonts w:ascii="Arial" w:cs="Arial" w:eastAsia="Arial" w:hAnsi="Arial"/>
          <w:color w:val="7F8C8D"/>
          <w:sz w:val="20"/>
          <w:szCs w:val="20"/>
        </w:rPr>
        <w:t xml:space="preserve">	22</w:t>
      </w:r>
    </w:p>
    <w:p>
      <w:pPr>
        <w:tabs>
          <w:tab w:val="right" w:pos="8640"/>
        </w:tabs>
        <w:spacing w:after="60"/>
      </w:pPr>
      <w:r>
        <w:rPr>
          <w:rFonts w:ascii="Arial" w:cs="Arial" w:eastAsia="Arial" w:hAnsi="Arial"/>
          <w:color w:val="2C3E50"/>
          <w:sz w:val="20"/>
          <w:szCs w:val="20"/>
        </w:rPr>
        <w:t xml:space="preserve">  9.2 Data Flow Diagrams</w:t>
      </w:r>
      <w:r>
        <w:rPr>
          <w:rFonts w:ascii="Arial" w:cs="Arial" w:eastAsia="Arial" w:hAnsi="Arial"/>
          <w:color w:val="7F8C8D"/>
          <w:sz w:val="20"/>
          <w:szCs w:val="20"/>
        </w:rPr>
        <w:t xml:space="preserve">	22</w:t>
      </w:r>
    </w:p>
    <w:p>
      <w:pPr>
        <w:tabs>
          <w:tab w:val="right" w:pos="8640"/>
        </w:tabs>
        <w:spacing w:after="60"/>
      </w:pPr>
      <w:r>
        <w:rPr>
          <w:rFonts w:ascii="Arial" w:cs="Arial" w:eastAsia="Arial" w:hAnsi="Arial"/>
          <w:color w:val="2C3E50"/>
          <w:sz w:val="20"/>
          <w:szCs w:val="20"/>
        </w:rPr>
        <w:t xml:space="preserve">  9.3 STRIDE per Element</w:t>
      </w:r>
      <w:r>
        <w:rPr>
          <w:rFonts w:ascii="Arial" w:cs="Arial" w:eastAsia="Arial" w:hAnsi="Arial"/>
          <w:color w:val="7F8C8D"/>
          <w:sz w:val="20"/>
          <w:szCs w:val="20"/>
        </w:rPr>
        <w:t xml:space="preserve">	23</w:t>
      </w:r>
    </w:p>
    <w:p>
      <w:pPr>
        <w:tabs>
          <w:tab w:val="right" w:pos="8640"/>
        </w:tabs>
        <w:spacing w:after="60"/>
      </w:pPr>
      <w:r>
        <w:rPr>
          <w:rFonts w:ascii="Arial" w:cs="Arial" w:eastAsia="Arial" w:hAnsi="Arial"/>
          <w:color w:val="2C3E50"/>
          <w:sz w:val="20"/>
          <w:szCs w:val="20"/>
        </w:rPr>
        <w:t xml:space="preserve">  9.4 Attack Trees</w:t>
      </w:r>
      <w:r>
        <w:rPr>
          <w:rFonts w:ascii="Arial" w:cs="Arial" w:eastAsia="Arial" w:hAnsi="Arial"/>
          <w:color w:val="7F8C8D"/>
          <w:sz w:val="20"/>
          <w:szCs w:val="20"/>
        </w:rPr>
        <w:t xml:space="preserve">	23</w:t>
      </w:r>
    </w:p>
    <w:p>
      <w:pPr>
        <w:tabs>
          <w:tab w:val="right" w:pos="8640"/>
        </w:tabs>
        <w:spacing w:after="60"/>
      </w:pPr>
      <w:r>
        <w:rPr>
          <w:rFonts w:ascii="Arial" w:cs="Arial" w:eastAsia="Arial" w:hAnsi="Arial"/>
          <w:color w:val="2C3E50"/>
          <w:sz w:val="20"/>
          <w:szCs w:val="20"/>
        </w:rPr>
        <w:t xml:space="preserve">  9.5 Risk Evaluation and Mitigation Selection</w:t>
      </w:r>
      <w:r>
        <w:rPr>
          <w:rFonts w:ascii="Arial" w:cs="Arial" w:eastAsia="Arial" w:hAnsi="Arial"/>
          <w:color w:val="7F8C8D"/>
          <w:sz w:val="20"/>
          <w:szCs w:val="20"/>
        </w:rPr>
        <w:t xml:space="preserve">	24</w:t>
      </w:r>
    </w:p>
    <w:p>
      <w:pPr>
        <w:tabs>
          <w:tab w:val="right" w:pos="8640"/>
        </w:tabs>
        <w:spacing w:after="60"/>
      </w:pPr>
      <w:r>
        <w:rPr>
          <w:rFonts w:ascii="Arial" w:cs="Arial" w:eastAsia="Arial" w:hAnsi="Arial"/>
          <w:color w:val="2C3E50"/>
          <w:sz w:val="20"/>
          <w:szCs w:val="20"/>
        </w:rPr>
        <w:t xml:space="preserve">Module 10 — Defensive Case Studies</w:t>
      </w:r>
      <w:r>
        <w:rPr>
          <w:rFonts w:ascii="Arial" w:cs="Arial" w:eastAsia="Arial" w:hAnsi="Arial"/>
          <w:color w:val="7F8C8D"/>
          <w:sz w:val="20"/>
          <w:szCs w:val="20"/>
        </w:rPr>
        <w:t xml:space="preserve">	25</w:t>
      </w:r>
    </w:p>
    <w:p>
      <w:pPr>
        <w:tabs>
          <w:tab w:val="right" w:pos="8640"/>
        </w:tabs>
        <w:spacing w:after="60"/>
      </w:pPr>
      <w:r>
        <w:rPr>
          <w:rFonts w:ascii="Arial" w:cs="Arial" w:eastAsia="Arial" w:hAnsi="Arial"/>
          <w:color w:val="2C3E50"/>
          <w:sz w:val="20"/>
          <w:szCs w:val="20"/>
        </w:rPr>
        <w:t xml:space="preserve">  10.1 Trusted Length Field (Heap Overflow)</w:t>
      </w:r>
      <w:r>
        <w:rPr>
          <w:rFonts w:ascii="Arial" w:cs="Arial" w:eastAsia="Arial" w:hAnsi="Arial"/>
          <w:color w:val="7F8C8D"/>
          <w:sz w:val="20"/>
          <w:szCs w:val="20"/>
        </w:rPr>
        <w:t xml:space="preserve">	25</w:t>
      </w:r>
    </w:p>
    <w:p>
      <w:pPr>
        <w:tabs>
          <w:tab w:val="right" w:pos="8640"/>
        </w:tabs>
        <w:spacing w:after="60"/>
      </w:pPr>
      <w:r>
        <w:rPr>
          <w:rFonts w:ascii="Arial" w:cs="Arial" w:eastAsia="Arial" w:hAnsi="Arial"/>
          <w:color w:val="2C3E50"/>
          <w:sz w:val="20"/>
          <w:szCs w:val="20"/>
        </w:rPr>
        <w:t xml:space="preserve">  10.2 Use-After-Free in Event Dispatch</w:t>
      </w:r>
      <w:r>
        <w:rPr>
          <w:rFonts w:ascii="Arial" w:cs="Arial" w:eastAsia="Arial" w:hAnsi="Arial"/>
          <w:color w:val="7F8C8D"/>
          <w:sz w:val="20"/>
          <w:szCs w:val="20"/>
        </w:rPr>
        <w:t xml:space="preserve">	25</w:t>
      </w:r>
    </w:p>
    <w:p>
      <w:pPr>
        <w:tabs>
          <w:tab w:val="right" w:pos="8640"/>
        </w:tabs>
        <w:spacing w:after="60"/>
      </w:pPr>
      <w:r>
        <w:rPr>
          <w:rFonts w:ascii="Arial" w:cs="Arial" w:eastAsia="Arial" w:hAnsi="Arial"/>
          <w:color w:val="2C3E50"/>
          <w:sz w:val="20"/>
          <w:szCs w:val="20"/>
        </w:rPr>
        <w:t xml:space="preserve">  10.3 SSRF via Implicit Trust Boundary</w:t>
      </w:r>
      <w:r>
        <w:rPr>
          <w:rFonts w:ascii="Arial" w:cs="Arial" w:eastAsia="Arial" w:hAnsi="Arial"/>
          <w:color w:val="7F8C8D"/>
          <w:sz w:val="20"/>
          <w:szCs w:val="20"/>
        </w:rPr>
        <w:t xml:space="preserve">	26</w:t>
      </w:r>
    </w:p>
    <w:p>
      <w:pPr>
        <w:tabs>
          <w:tab w:val="right" w:pos="8640"/>
        </w:tabs>
        <w:spacing w:after="60"/>
      </w:pPr>
      <w:r>
        <w:rPr>
          <w:rFonts w:ascii="Arial" w:cs="Arial" w:eastAsia="Arial" w:hAnsi="Arial"/>
          <w:color w:val="2C3E50"/>
          <w:sz w:val="20"/>
          <w:szCs w:val="20"/>
        </w:rPr>
        <w:t xml:space="preserve">  10.4 Predictable Token Generation</w:t>
      </w:r>
      <w:r>
        <w:rPr>
          <w:rFonts w:ascii="Arial" w:cs="Arial" w:eastAsia="Arial" w:hAnsi="Arial"/>
          <w:color w:val="7F8C8D"/>
          <w:sz w:val="20"/>
          <w:szCs w:val="20"/>
        </w:rPr>
        <w:t xml:space="preserve">	26</w:t>
      </w:r>
    </w:p>
    <w:p>
      <w:pPr>
        <w:tabs>
          <w:tab w:val="right" w:pos="8640"/>
        </w:tabs>
        <w:spacing w:after="60"/>
      </w:pPr>
      <w:r>
        <w:rPr>
          <w:rFonts w:ascii="Arial" w:cs="Arial" w:eastAsia="Arial" w:hAnsi="Arial"/>
          <w:color w:val="2C3E50"/>
          <w:sz w:val="20"/>
          <w:szCs w:val="20"/>
        </w:rPr>
        <w:t xml:space="preserve">  10.5 Cross-Cutting Architectural Lessons</w:t>
      </w:r>
      <w:r>
        <w:rPr>
          <w:rFonts w:ascii="Arial" w:cs="Arial" w:eastAsia="Arial" w:hAnsi="Arial"/>
          <w:color w:val="7F8C8D"/>
          <w:sz w:val="20"/>
          <w:szCs w:val="20"/>
        </w:rPr>
        <w:t xml:space="preserve">	27</w:t>
      </w:r>
    </w:p>
    <w:p>
      <w:pPr>
        <w:spacing w:before="160" w:after="80"/>
      </w:pPr>
      <w:r>
        <w:rPr>
          <w:rFonts w:ascii="Arial" w:cs="Arial" w:eastAsia="Arial" w:hAnsi="Arial"/>
          <w:b/>
          <w:bCs/>
          <w:color w:val="0F3460"/>
          <w:sz w:val="20"/>
          <w:szCs w:val="20"/>
        </w:rPr>
        <w:t xml:space="preserve">PART V: LABS &amp; CAPSTONE</w:t>
      </w:r>
    </w:p>
    <w:p>
      <w:pPr>
        <w:tabs>
          <w:tab w:val="right" w:pos="8640"/>
        </w:tabs>
        <w:spacing w:after="60"/>
      </w:pPr>
      <w:r>
        <w:rPr>
          <w:rFonts w:ascii="Arial" w:cs="Arial" w:eastAsia="Arial" w:hAnsi="Arial"/>
          <w:color w:val="2C3E50"/>
          <w:sz w:val="20"/>
          <w:szCs w:val="20"/>
        </w:rPr>
        <w:t xml:space="preserve">Module 11 — Advanced Labs Overview</w:t>
      </w:r>
      <w:r>
        <w:rPr>
          <w:rFonts w:ascii="Arial" w:cs="Arial" w:eastAsia="Arial" w:hAnsi="Arial"/>
          <w:color w:val="7F8C8D"/>
          <w:sz w:val="20"/>
          <w:szCs w:val="20"/>
        </w:rPr>
        <w:t xml:space="preserve">	28</w:t>
      </w:r>
    </w:p>
    <w:p>
      <w:pPr>
        <w:tabs>
          <w:tab w:val="right" w:pos="8640"/>
        </w:tabs>
        <w:spacing w:after="60"/>
      </w:pPr>
      <w:r>
        <w:rPr>
          <w:rFonts w:ascii="Arial" w:cs="Arial" w:eastAsia="Arial" w:hAnsi="Arial"/>
          <w:color w:val="2C3E50"/>
          <w:sz w:val="20"/>
          <w:szCs w:val="20"/>
        </w:rPr>
        <w:t xml:space="preserve">  11.1 Lab Philosophy and Environment</w:t>
      </w:r>
      <w:r>
        <w:rPr>
          <w:rFonts w:ascii="Arial" w:cs="Arial" w:eastAsia="Arial" w:hAnsi="Arial"/>
          <w:color w:val="7F8C8D"/>
          <w:sz w:val="20"/>
          <w:szCs w:val="20"/>
        </w:rPr>
        <w:t xml:space="preserve">	28</w:t>
      </w:r>
    </w:p>
    <w:p>
      <w:pPr>
        <w:tabs>
          <w:tab w:val="right" w:pos="8640"/>
        </w:tabs>
        <w:spacing w:after="60"/>
      </w:pPr>
      <w:r>
        <w:rPr>
          <w:rFonts w:ascii="Arial" w:cs="Arial" w:eastAsia="Arial" w:hAnsi="Arial"/>
          <w:color w:val="2C3E50"/>
          <w:sz w:val="20"/>
          <w:szCs w:val="20"/>
        </w:rPr>
        <w:t xml:space="preserve">  11.2 Lab Series 1–4 Catalog</w:t>
      </w:r>
      <w:r>
        <w:rPr>
          <w:rFonts w:ascii="Arial" w:cs="Arial" w:eastAsia="Arial" w:hAnsi="Arial"/>
          <w:color w:val="7F8C8D"/>
          <w:sz w:val="20"/>
          <w:szCs w:val="20"/>
        </w:rPr>
        <w:t xml:space="preserve">	28</w:t>
      </w:r>
    </w:p>
    <w:p>
      <w:pPr>
        <w:tabs>
          <w:tab w:val="right" w:pos="8640"/>
        </w:tabs>
        <w:spacing w:after="60"/>
      </w:pPr>
      <w:r>
        <w:rPr>
          <w:rFonts w:ascii="Arial" w:cs="Arial" w:eastAsia="Arial" w:hAnsi="Arial"/>
          <w:color w:val="2C3E50"/>
          <w:sz w:val="20"/>
          <w:szCs w:val="20"/>
        </w:rPr>
        <w:t xml:space="preserve">  11.3 Assessment Criteria</w:t>
      </w:r>
      <w:r>
        <w:rPr>
          <w:rFonts w:ascii="Arial" w:cs="Arial" w:eastAsia="Arial" w:hAnsi="Arial"/>
          <w:color w:val="7F8C8D"/>
          <w:sz w:val="20"/>
          <w:szCs w:val="20"/>
        </w:rPr>
        <w:t xml:space="preserve">	29</w:t>
      </w:r>
    </w:p>
    <w:p>
      <w:pPr>
        <w:tabs>
          <w:tab w:val="right" w:pos="8640"/>
        </w:tabs>
        <w:spacing w:after="60"/>
      </w:pPr>
      <w:r>
        <w:rPr>
          <w:rFonts w:ascii="Arial" w:cs="Arial" w:eastAsia="Arial" w:hAnsi="Arial"/>
          <w:color w:val="2C3E50"/>
          <w:sz w:val="20"/>
          <w:szCs w:val="20"/>
        </w:rPr>
        <w:t xml:space="preserve">Module 12 — Final Project Guidelines</w:t>
      </w:r>
      <w:r>
        <w:rPr>
          <w:rFonts w:ascii="Arial" w:cs="Arial" w:eastAsia="Arial" w:hAnsi="Arial"/>
          <w:color w:val="7F8C8D"/>
          <w:sz w:val="20"/>
          <w:szCs w:val="20"/>
        </w:rPr>
        <w:t xml:space="preserve">	30</w:t>
      </w:r>
    </w:p>
    <w:p>
      <w:pPr>
        <w:tabs>
          <w:tab w:val="right" w:pos="8640"/>
        </w:tabs>
        <w:spacing w:after="60"/>
      </w:pPr>
      <w:r>
        <w:rPr>
          <w:rFonts w:ascii="Arial" w:cs="Arial" w:eastAsia="Arial" w:hAnsi="Arial"/>
          <w:color w:val="2C3E50"/>
          <w:sz w:val="20"/>
          <w:szCs w:val="20"/>
        </w:rPr>
        <w:t xml:space="preserve">  12.1 Track A: Vulnerability Research</w:t>
      </w:r>
      <w:r>
        <w:rPr>
          <w:rFonts w:ascii="Arial" w:cs="Arial" w:eastAsia="Arial" w:hAnsi="Arial"/>
          <w:color w:val="7F8C8D"/>
          <w:sz w:val="20"/>
          <w:szCs w:val="20"/>
        </w:rPr>
        <w:t xml:space="preserve">	30</w:t>
      </w:r>
    </w:p>
    <w:p>
      <w:pPr>
        <w:tabs>
          <w:tab w:val="right" w:pos="8640"/>
        </w:tabs>
        <w:spacing w:after="60"/>
      </w:pPr>
      <w:r>
        <w:rPr>
          <w:rFonts w:ascii="Arial" w:cs="Arial" w:eastAsia="Arial" w:hAnsi="Arial"/>
          <w:color w:val="2C3E50"/>
          <w:sz w:val="20"/>
          <w:szCs w:val="20"/>
        </w:rPr>
        <w:t xml:space="preserve">  12.2 Track B: Defensive Architecture Review</w:t>
      </w:r>
      <w:r>
        <w:rPr>
          <w:rFonts w:ascii="Arial" w:cs="Arial" w:eastAsia="Arial" w:hAnsi="Arial"/>
          <w:color w:val="7F8C8D"/>
          <w:sz w:val="20"/>
          <w:szCs w:val="20"/>
        </w:rPr>
        <w:t xml:space="preserve">	30</w:t>
      </w:r>
    </w:p>
    <w:p>
      <w:pPr>
        <w:tabs>
          <w:tab w:val="right" w:pos="8640"/>
        </w:tabs>
        <w:spacing w:after="60"/>
      </w:pPr>
      <w:r>
        <w:rPr>
          <w:rFonts w:ascii="Arial" w:cs="Arial" w:eastAsia="Arial" w:hAnsi="Arial"/>
          <w:color w:val="2C3E50"/>
          <w:sz w:val="20"/>
          <w:szCs w:val="20"/>
        </w:rPr>
        <w:t xml:space="preserve">  12.3 Evaluation Rubric</w:t>
      </w:r>
      <w:r>
        <w:rPr>
          <w:rFonts w:ascii="Arial" w:cs="Arial" w:eastAsia="Arial" w:hAnsi="Arial"/>
          <w:color w:val="7F8C8D"/>
          <w:sz w:val="20"/>
          <w:szCs w:val="20"/>
        </w:rPr>
        <w:t xml:space="preserve">	31</w:t>
      </w:r>
    </w:p>
    <w:p>
      <w:pPr>
        <w:tabs>
          <w:tab w:val="right" w:pos="8640"/>
        </w:tabs>
        <w:spacing w:after="60"/>
      </w:pPr>
      <w:r>
        <w:rPr>
          <w:rFonts w:ascii="Arial" w:cs="Arial" w:eastAsia="Arial" w:hAnsi="Arial"/>
          <w:color w:val="2C3E50"/>
          <w:sz w:val="20"/>
          <w:szCs w:val="20"/>
        </w:rPr>
        <w:t xml:space="preserve">  12.4 Submission Timeline</w:t>
      </w:r>
      <w:r>
        <w:rPr>
          <w:rFonts w:ascii="Arial" w:cs="Arial" w:eastAsia="Arial" w:hAnsi="Arial"/>
          <w:color w:val="7F8C8D"/>
          <w:sz w:val="20"/>
          <w:szCs w:val="20"/>
        </w:rPr>
        <w:t xml:space="preserve">	31</w:t>
      </w:r>
    </w:p>
    <w:p>
      <w:pPr>
        <w:spacing w:before="160" w:after="80"/>
      </w:pPr>
      <w:r>
        <w:rPr>
          <w:rFonts w:ascii="Arial" w:cs="Arial" w:eastAsia="Arial" w:hAnsi="Arial"/>
          <w:b/>
          <w:bCs/>
          <w:color w:val="0F3460"/>
          <w:sz w:val="20"/>
          <w:szCs w:val="20"/>
        </w:rPr>
        <w:t xml:space="preserve">APPENDICES</w:t>
      </w:r>
    </w:p>
    <w:p>
      <w:pPr>
        <w:tabs>
          <w:tab w:val="right" w:pos="8640"/>
        </w:tabs>
        <w:spacing w:after="60"/>
      </w:pPr>
      <w:r>
        <w:rPr>
          <w:rFonts w:ascii="Arial" w:cs="Arial" w:eastAsia="Arial" w:hAnsi="Arial"/>
          <w:color w:val="2C3E50"/>
          <w:sz w:val="20"/>
          <w:szCs w:val="20"/>
        </w:rPr>
        <w:t xml:space="preserve">Appendix A — Glossary</w:t>
      </w:r>
      <w:r>
        <w:rPr>
          <w:rFonts w:ascii="Arial" w:cs="Arial" w:eastAsia="Arial" w:hAnsi="Arial"/>
          <w:color w:val="7F8C8D"/>
          <w:sz w:val="20"/>
          <w:szCs w:val="20"/>
        </w:rPr>
        <w:t xml:space="preserve">	32</w:t>
      </w:r>
    </w:p>
    <w:p>
      <w:pPr>
        <w:tabs>
          <w:tab w:val="right" w:pos="8640"/>
        </w:tabs>
        <w:spacing w:after="60"/>
      </w:pPr>
      <w:r>
        <w:rPr>
          <w:rFonts w:ascii="Arial" w:cs="Arial" w:eastAsia="Arial" w:hAnsi="Arial"/>
          <w:color w:val="2C3E50"/>
          <w:sz w:val="20"/>
          <w:szCs w:val="20"/>
        </w:rPr>
        <w:t xml:space="preserve">Appendix B — Mitigation Quick Reference</w:t>
      </w:r>
      <w:r>
        <w:rPr>
          <w:rFonts w:ascii="Arial" w:cs="Arial" w:eastAsia="Arial" w:hAnsi="Arial"/>
          <w:color w:val="7F8C8D"/>
          <w:sz w:val="20"/>
          <w:szCs w:val="20"/>
        </w:rPr>
        <w:t xml:space="preserve">	34</w:t>
      </w:r>
    </w:p>
    <w:p>
      <w:pPr>
        <w:tabs>
          <w:tab w:val="right" w:pos="8640"/>
        </w:tabs>
        <w:spacing w:after="60"/>
      </w:pPr>
      <w:r>
        <w:rPr>
          <w:rFonts w:ascii="Arial" w:cs="Arial" w:eastAsia="Arial" w:hAnsi="Arial"/>
          <w:color w:val="2C3E50"/>
          <w:sz w:val="20"/>
          <w:szCs w:val="20"/>
        </w:rPr>
        <w:t xml:space="preserve">Appendix C — Responsible Disclosure Template</w:t>
      </w:r>
      <w:r>
        <w:rPr>
          <w:rFonts w:ascii="Arial" w:cs="Arial" w:eastAsia="Arial" w:hAnsi="Arial"/>
          <w:color w:val="7F8C8D"/>
          <w:sz w:val="20"/>
          <w:szCs w:val="20"/>
        </w:rPr>
        <w:t xml:space="preserve">	35</w:t>
      </w:r>
    </w:p>
    <w:p>
      <w:pPr>
        <w:tabs>
          <w:tab w:val="right" w:pos="8640"/>
        </w:tabs>
        <w:spacing w:after="60"/>
      </w:pPr>
      <w:r>
        <w:rPr>
          <w:rFonts w:ascii="Arial" w:cs="Arial" w:eastAsia="Arial" w:hAnsi="Arial"/>
          <w:color w:val="2C3E50"/>
          <w:sz w:val="20"/>
          <w:szCs w:val="20"/>
        </w:rPr>
        <w:t xml:space="preserve">Appendix D — Lab Environment Setup Guide</w:t>
      </w:r>
      <w:r>
        <w:rPr>
          <w:rFonts w:ascii="Arial" w:cs="Arial" w:eastAsia="Arial" w:hAnsi="Arial"/>
          <w:color w:val="7F8C8D"/>
          <w:sz w:val="20"/>
          <w:szCs w:val="20"/>
        </w:rPr>
        <w:t xml:space="preserve">	36</w:t>
      </w:r>
    </w:p>
    <w:p>
      <w:pPr>
        <w:tabs>
          <w:tab w:val="right" w:pos="8640"/>
        </w:tabs>
        <w:spacing w:after="60"/>
      </w:pPr>
      <w:r>
        <w:rPr>
          <w:rFonts w:ascii="Arial" w:cs="Arial" w:eastAsia="Arial" w:hAnsi="Arial"/>
          <w:color w:val="2C3E50"/>
          <w:sz w:val="20"/>
          <w:szCs w:val="20"/>
        </w:rPr>
        <w:t xml:space="preserve">Appendix E — Recommended Reading &amp; References</w:t>
      </w:r>
      <w:r>
        <w:rPr>
          <w:rFonts w:ascii="Arial" w:cs="Arial" w:eastAsia="Arial" w:hAnsi="Arial"/>
          <w:color w:val="7F8C8D"/>
          <w:sz w:val="20"/>
          <w:szCs w:val="20"/>
        </w:rPr>
        <w:t xml:space="preserve">	37</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1 — The Execution Model</w:t>
      </w:r>
    </w:p>
    <w:p>
      <w:pPr>
        <w:spacing w:after="160"/>
      </w:pPr>
      <w:r>
        <w:rPr>
          <w:rFonts w:ascii="Arial" w:cs="Arial" w:eastAsia="Arial" w:hAnsi="Arial"/>
          <w:sz w:val="20"/>
          <w:szCs w:val="20"/>
        </w:rPr>
        <w:t xml:space="preserve">Before a security practitioner can reason about how software fails, they need a precise mental model of how software works. This module builds that foundation from the ground up — from the ELF binary on disk to the running process in memory, covering the virtual address space, the register file, and the kernel-userspace privilege boundary.</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Describe the lifecycle of a process from ELF binary to running program</w:t>
      </w:r>
    </w:p>
    <w:p>
      <w:pPr>
        <w:pStyle w:val="ListParagraph"/>
        <w:numPr>
          <w:ilvl w:val="0"/>
          <w:numId w:val="2"/>
        </w:numPr>
        <w:spacing w:after="80"/>
      </w:pPr>
      <w:r>
        <w:rPr>
          <w:rFonts w:ascii="Arial" w:cs="Arial" w:eastAsia="Arial" w:hAnsi="Arial"/>
          <w:sz w:val="20"/>
          <w:szCs w:val="20"/>
        </w:rPr>
        <w:t xml:space="preserve">Identify and explain each segment of a process's virtual address space</w:t>
      </w:r>
    </w:p>
    <w:p>
      <w:pPr>
        <w:pStyle w:val="ListParagraph"/>
        <w:numPr>
          <w:ilvl w:val="0"/>
          <w:numId w:val="2"/>
        </w:numPr>
        <w:spacing w:after="80"/>
      </w:pPr>
      <w:r>
        <w:rPr>
          <w:rFonts w:ascii="Arial" w:cs="Arial" w:eastAsia="Arial" w:hAnsi="Arial"/>
          <w:sz w:val="20"/>
          <w:szCs w:val="20"/>
        </w:rPr>
        <w:t xml:space="preserve">Use /proc and GDB to observe the execution model of a live process</w:t>
      </w:r>
    </w:p>
    <w:p>
      <w:pPr>
        <w:pStyle w:val="ListParagraph"/>
        <w:numPr>
          <w:ilvl w:val="0"/>
          <w:numId w:val="2"/>
        </w:numPr>
        <w:spacing w:after="80"/>
      </w:pPr>
      <w:r>
        <w:rPr>
          <w:rFonts w:ascii="Arial" w:cs="Arial" w:eastAsia="Arial" w:hAnsi="Arial"/>
          <w:sz w:val="20"/>
          <w:szCs w:val="20"/>
        </w:rPr>
        <w:t xml:space="preserve">Explain the role of the kernel in mediating process execution</w:t>
      </w:r>
    </w:p>
    <w:p>
      <w:pPr>
        <w:pStyle w:val="ListParagraph"/>
        <w:numPr>
          <w:ilvl w:val="0"/>
          <w:numId w:val="2"/>
        </w:numPr>
        <w:spacing w:after="80"/>
      </w:pPr>
      <w:r>
        <w:rPr>
          <w:rFonts w:ascii="Arial" w:cs="Arial" w:eastAsia="Arial" w:hAnsi="Arial"/>
          <w:sz w:val="20"/>
          <w:szCs w:val="20"/>
        </w:rPr>
        <w:t xml:space="preserve">Articulate why the execution model is root context for memory-based vulnerability classes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1.1  From ELF Binary to Process</w:t>
      </w:r>
    </w:p>
    <w:p>
      <w:pPr>
        <w:spacing w:after="160"/>
      </w:pPr>
      <w:r>
        <w:rPr>
          <w:rFonts w:ascii="Arial" w:cs="Arial" w:eastAsia="Arial" w:hAnsi="Arial"/>
          <w:sz w:val="20"/>
          <w:szCs w:val="20"/>
        </w:rPr>
        <w:t xml:space="preserve">An ELF (Executable and Linkable Format) binary sitting on disk is a blueprint containing code, data, and metadata describing how these should be arranged in memory. The operating system loader reads this blueprint and constructs a process: an isolated execution environment with its own virtual address space, register state, and file descriptor table. The loader maps each LOAD segment of the ELF into the virtual address space with the permissions declared in the segment header.</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1.2  Virtual Address Space Layout</w:t>
      </w:r>
    </w:p>
    <w:p>
      <w:pPr>
        <w:spacing w:after="160"/>
      </w:pPr>
      <w:r>
        <w:rPr>
          <w:rFonts w:ascii="Arial" w:cs="Arial" w:eastAsia="Arial" w:hAnsi="Arial"/>
          <w:sz w:val="20"/>
          <w:szCs w:val="20"/>
        </w:rPr>
        <w:t xml:space="preserve">The virtual address space is divided into well-defined regions, each with specific permissions enforced by the MMU. Understanding this layout is the prerequisite for understanding how memory corruption vulnerabilities work.</w:t>
      </w:r>
    </w:p>
    <w:p>
      <w:pPr>
        <w:shd w:fill="F0F4F8" w:val="clear"/>
        <w:spacing w:before="80" w:after="80"/>
        <w:ind w:left="360"/>
      </w:pPr>
      <w:r>
        <w:rPr>
          <w:rFonts w:ascii="Consolas" w:cs="Consolas" w:eastAsia="Consolas" w:hAnsi="Consolas"/>
          <w:sz w:val="18"/>
          <w:szCs w:val="18"/>
        </w:rPr>
        <w:t xml:space="preserve">High: Kernel Space (ring-0 only)</w:t>
      </w:r>
    </w:p>
    <w:p>
      <w:pPr>
        <w:shd w:fill="F0F4F8" w:val="clear"/>
        <w:spacing w:before="80" w:after="80"/>
        <w:ind w:left="360"/>
      </w:pPr>
      <w:r>
        <w:rPr>
          <w:rFonts w:ascii="Consolas" w:cs="Consolas" w:eastAsia="Consolas" w:hAnsi="Consolas"/>
          <w:sz w:val="18"/>
          <w:szCs w:val="18"/>
        </w:rPr>
        <w:t xml:space="preserve">     Stack (grows down, rw-p, ASLR)</w:t>
      </w:r>
    </w:p>
    <w:p>
      <w:pPr>
        <w:shd w:fill="F0F4F8" w:val="clear"/>
        <w:spacing w:before="80" w:after="80"/>
        <w:ind w:left="360"/>
      </w:pPr>
      <w:r>
        <w:rPr>
          <w:rFonts w:ascii="Consolas" w:cs="Consolas" w:eastAsia="Consolas" w:hAnsi="Consolas"/>
          <w:sz w:val="18"/>
          <w:szCs w:val="18"/>
        </w:rPr>
        <w:t xml:space="preserve">     Shared Libraries (r-xp / rw-p, ASLR)</w:t>
      </w:r>
    </w:p>
    <w:p>
      <w:pPr>
        <w:shd w:fill="F0F4F8" w:val="clear"/>
        <w:spacing w:before="80" w:after="80"/>
        <w:ind w:left="360"/>
      </w:pPr>
      <w:r>
        <w:rPr>
          <w:rFonts w:ascii="Consolas" w:cs="Consolas" w:eastAsia="Consolas" w:hAnsi="Consolas"/>
          <w:sz w:val="18"/>
          <w:szCs w:val="18"/>
        </w:rPr>
        <w:t xml:space="preserve">     Heap (grows up, rw-p)</w:t>
      </w:r>
    </w:p>
    <w:p>
      <w:pPr>
        <w:shd w:fill="F0F4F8" w:val="clear"/>
        <w:spacing w:before="80" w:after="80"/>
        <w:ind w:left="360"/>
      </w:pPr>
      <w:r>
        <w:rPr>
          <w:rFonts w:ascii="Consolas" w:cs="Consolas" w:eastAsia="Consolas" w:hAnsi="Consolas"/>
          <w:sz w:val="18"/>
          <w:szCs w:val="18"/>
        </w:rPr>
        <w:t xml:space="preserve">     BSS / Data Segments (rw-p, PIE+ASLR)</w:t>
      </w:r>
    </w:p>
    <w:p>
      <w:pPr>
        <w:shd w:fill="F0F4F8" w:val="clear"/>
        <w:spacing w:before="80" w:after="80"/>
        <w:ind w:left="360"/>
      </w:pPr>
      <w:r>
        <w:rPr>
          <w:rFonts w:ascii="Consolas" w:cs="Consolas" w:eastAsia="Consolas" w:hAnsi="Consolas"/>
          <w:sz w:val="18"/>
          <w:szCs w:val="18"/>
        </w:rPr>
        <w:t xml:space="preserve">Low:  Text Segment (r-xp, PIE+ASLR)</w:t>
      </w:r>
    </w:p>
    <w:p>
      <w:pPr>
        <w:spacing w:after="160"/>
      </w:pPr>
      <w:r>
        <w:rPr>
          <w:rFonts w:ascii="Arial" w:cs="Arial" w:eastAsia="Arial" w:hAnsi="Arial"/>
          <w:sz w:val="20"/>
          <w:szCs w:val="20"/>
        </w:rPr>
        <w:t xml:space="preserve">The text segment is readable and executable but not writable. Data regions are writable but — with NX/DEP active — not executable. These permission boundaries are enforced in hardware by the MMU and form the foundation of the NX mitigation.</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1.3  Register Architecture</w:t>
      </w:r>
    </w:p>
    <w:p>
      <w:pPr>
        <w:spacing w:after="160"/>
      </w:pPr>
      <w:r>
        <w:rPr>
          <w:rFonts w:ascii="Arial" w:cs="Arial" w:eastAsia="Arial" w:hAnsi="Arial"/>
          <w:sz w:val="20"/>
          <w:szCs w:val="20"/>
        </w:rPr>
        <w:t xml:space="preserve">In x86-64, the instruction pointer RIP holds the address of the next instruction to execute. Controlling RIP is the goal of most control-flow hijacking attacks. The stack pointer RSP holds the current top of the stack — the boundary of the current execution frame. Callee-saved registers (RBX, RBP, R12–R15) must be preserved across function calls; caller-saved registers (RAX, RCX, RDX, RSI, RDI, R8–R11) may be freely overwritten.</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1.4  Privilege Rings and the Syscall Interface</w:t>
      </w:r>
    </w:p>
    <w:p>
      <w:pPr>
        <w:spacing w:after="160"/>
      </w:pPr>
      <w:r>
        <w:rPr>
          <w:rFonts w:ascii="Arial" w:cs="Arial" w:eastAsia="Arial" w:hAnsi="Arial"/>
          <w:sz w:val="20"/>
          <w:szCs w:val="20"/>
        </w:rPr>
        <w:t xml:space="preserve">The CPU operates in privilege rings — ring 0 (kernel) has unrestricted hardware access; ring 3 (user) is constrained. Transitions occur via the SYSCALL instruction. Every system call crosses the user-kernel trust boundary: the kernel validates arguments, performs the operation at ring 0, and returns results to ring 3. This boundary is the most fundamental trust enforcement point in the execution model. Hardware extensions SMEP and SMAP prevent the kernel from executing or directly accessing user-space pages, closing historical privilege escalation paths.</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2 — Stack Analysis</w:t>
      </w:r>
    </w:p>
    <w:p>
      <w:pPr>
        <w:spacing w:after="160"/>
      </w:pPr>
      <w:r>
        <w:rPr>
          <w:rFonts w:ascii="Arial" w:cs="Arial" w:eastAsia="Arial" w:hAnsi="Arial"/>
          <w:sz w:val="20"/>
          <w:szCs w:val="20"/>
        </w:rPr>
        <w:t xml:space="preserve">The call stack is one of the most elegant structures in computing — and one of the most persistently targeted. This module dissects stack frame construction, the calling convention contract, and the complete set of mitigations that defend the stack.</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Describe frame construction step-by-step from CALL to function prologue</w:t>
      </w:r>
    </w:p>
    <w:p>
      <w:pPr>
        <w:pStyle w:val="ListParagraph"/>
        <w:numPr>
          <w:ilvl w:val="0"/>
          <w:numId w:val="2"/>
        </w:numPr>
        <w:spacing w:after="80"/>
      </w:pPr>
      <w:r>
        <w:rPr>
          <w:rFonts w:ascii="Arial" w:cs="Arial" w:eastAsia="Arial" w:hAnsi="Arial"/>
          <w:sz w:val="20"/>
          <w:szCs w:val="20"/>
        </w:rPr>
        <w:t xml:space="preserve">Map source code to stack frame layout with variable offsets</w:t>
      </w:r>
    </w:p>
    <w:p>
      <w:pPr>
        <w:pStyle w:val="ListParagraph"/>
        <w:numPr>
          <w:ilvl w:val="0"/>
          <w:numId w:val="2"/>
        </w:numPr>
        <w:spacing w:after="80"/>
      </w:pPr>
      <w:r>
        <w:rPr>
          <w:rFonts w:ascii="Arial" w:cs="Arial" w:eastAsia="Arial" w:hAnsi="Arial"/>
          <w:sz w:val="20"/>
          <w:szCs w:val="20"/>
        </w:rPr>
        <w:t xml:space="preserve">Explain each stack mitigation and what it does not protect against</w:t>
      </w:r>
    </w:p>
    <w:p>
      <w:pPr>
        <w:pStyle w:val="ListParagraph"/>
        <w:numPr>
          <w:ilvl w:val="0"/>
          <w:numId w:val="2"/>
        </w:numPr>
        <w:spacing w:after="80"/>
      </w:pPr>
      <w:r>
        <w:rPr>
          <w:rFonts w:ascii="Arial" w:cs="Arial" w:eastAsia="Arial" w:hAnsi="Arial"/>
          <w:sz w:val="20"/>
          <w:szCs w:val="20"/>
        </w:rPr>
        <w:t xml:space="preserve">Observe ASLR entropy on live stack addresses across multiple runs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2.1  The ABI Stack Contract</w:t>
      </w:r>
    </w:p>
    <w:p>
      <w:pPr>
        <w:spacing w:after="160"/>
      </w:pPr>
      <w:r>
        <w:rPr>
          <w:rFonts w:ascii="Arial" w:cs="Arial" w:eastAsia="Arial" w:hAnsi="Arial"/>
          <w:sz w:val="20"/>
          <w:szCs w:val="20"/>
        </w:rPr>
        <w:t xml:space="preserve">The System V AMD64 ABI governs argument passing (first six integer/pointer args in RDI, RSI, RDX, RCX, R8, R9), return values (integer/pointer in RAX), callee-saved registers, and stack discipline. This contract is implicit — the compiler enforces it, but violations produce exploitable conditions. Understanding the contract is prerequisite to recognizing when it has been violated.</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2.2  Frame Construction</w:t>
      </w:r>
    </w:p>
    <w:p>
      <w:pPr>
        <w:shd w:fill="F0F4F8" w:val="clear"/>
        <w:spacing w:before="80" w:after="80"/>
        <w:ind w:left="360"/>
      </w:pPr>
      <w:r>
        <w:rPr>
          <w:rFonts w:ascii="Consolas" w:cs="Consolas" w:eastAsia="Consolas" w:hAnsi="Consolas"/>
          <w:sz w:val="18"/>
          <w:szCs w:val="18"/>
        </w:rPr>
        <w:t xml:space="preserve">CALL target:  Push RIP+len → RSP -= 8 → RIP = target</w:t>
      </w:r>
    </w:p>
    <w:p>
      <w:pPr>
        <w:shd w:fill="F0F4F8" w:val="clear"/>
        <w:spacing w:before="80" w:after="80"/>
        <w:ind w:left="360"/>
      </w:pPr>
      <w:r>
        <w:rPr>
          <w:rFonts w:ascii="Consolas" w:cs="Consolas" w:eastAsia="Consolas" w:hAnsi="Consolas"/>
          <w:sz w:val="18"/>
          <w:szCs w:val="18"/>
        </w:rPr>
        <w:t xml:space="preserve">PUSH RBP:     RSP -= 8, [RSP] = old RBP</w:t>
      </w:r>
    </w:p>
    <w:p>
      <w:pPr>
        <w:shd w:fill="F0F4F8" w:val="clear"/>
        <w:spacing w:before="80" w:after="80"/>
        <w:ind w:left="360"/>
      </w:pPr>
      <w:r>
        <w:rPr>
          <w:rFonts w:ascii="Consolas" w:cs="Consolas" w:eastAsia="Consolas" w:hAnsi="Consolas"/>
          <w:sz w:val="18"/>
          <w:szCs w:val="18"/>
        </w:rPr>
        <w:t xml:space="preserve">MOV RBP, RSP: Frame pointer established</w:t>
      </w:r>
    </w:p>
    <w:p>
      <w:pPr>
        <w:shd w:fill="F0F4F8" w:val="clear"/>
        <w:spacing w:before="80" w:after="80"/>
        <w:ind w:left="360"/>
      </w:pPr>
      <w:r>
        <w:rPr>
          <w:rFonts w:ascii="Consolas" w:cs="Consolas" w:eastAsia="Consolas" w:hAnsi="Consolas"/>
          <w:sz w:val="18"/>
          <w:szCs w:val="18"/>
        </w:rPr>
        <w:t xml:space="preserve">SUB RSP, N:   N bytes reserved for locals</w:t>
      </w:r>
    </w:p>
    <w:p>
      <w:pPr>
        <w:spacing w:after="160"/>
      </w:pPr>
      <w:r>
        <w:rPr>
          <w:rFonts w:ascii="Arial" w:cs="Arial" w:eastAsia="Arial" w:hAnsi="Arial"/>
          <w:sz w:val="20"/>
          <w:szCs w:val="20"/>
        </w:rPr>
        <w:t xml:space="preserve">The return address now sits above local variables in memory. Because sequential buffer writes advance through ascending addresses, an overflow that starts in a local buffer will overwrite the canary, then the saved RBP, then the return address.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2.3  Stack Mitigations</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3 — Opcode Study</w:t>
      </w:r>
    </w:p>
    <w:p>
      <w:pPr>
        <w:spacing w:after="160"/>
      </w:pPr>
      <w:r>
        <w:rPr>
          <w:rFonts w:ascii="Arial" w:cs="Arial" w:eastAsia="Arial" w:hAnsi="Arial"/>
          <w:sz w:val="20"/>
          <w:szCs w:val="20"/>
        </w:rPr>
        <w:t xml:space="preserve">Assembly language is the last human-readable layer before machine code. Opcode literacy is not a specialization — it is a basic competency for anyone doing security work below the application layer. This module teaches systematic reading of x86-64 opcodes, encoding structure, and the security profiles of different instruction types.</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Read and interpret x86-64 disassembly output confidently</w:t>
      </w:r>
    </w:p>
    <w:p>
      <w:pPr>
        <w:pStyle w:val="ListParagraph"/>
        <w:numPr>
          <w:ilvl w:val="0"/>
          <w:numId w:val="2"/>
        </w:numPr>
        <w:spacing w:after="80"/>
      </w:pPr>
      <w:r>
        <w:rPr>
          <w:rFonts w:ascii="Arial" w:cs="Arial" w:eastAsia="Arial" w:hAnsi="Arial"/>
          <w:sz w:val="20"/>
          <w:szCs w:val="20"/>
        </w:rPr>
        <w:t xml:space="preserve">Explain variable-length instruction encoding and the ModRM byte</w:t>
      </w:r>
    </w:p>
    <w:p>
      <w:pPr>
        <w:pStyle w:val="ListParagraph"/>
        <w:numPr>
          <w:ilvl w:val="0"/>
          <w:numId w:val="2"/>
        </w:numPr>
        <w:spacing w:after="80"/>
      </w:pPr>
      <w:r>
        <w:rPr>
          <w:rFonts w:ascii="Arial" w:cs="Arial" w:eastAsia="Arial" w:hAnsi="Arial"/>
          <w:sz w:val="20"/>
          <w:szCs w:val="20"/>
        </w:rPr>
        <w:t xml:space="preserve">Distinguish direct from indirect control transfers and their security profiles</w:t>
      </w:r>
    </w:p>
    <w:p>
      <w:pPr>
        <w:pStyle w:val="ListParagraph"/>
        <w:numPr>
          <w:ilvl w:val="0"/>
          <w:numId w:val="2"/>
        </w:numPr>
        <w:spacing w:after="80"/>
      </w:pPr>
      <w:r>
        <w:rPr>
          <w:rFonts w:ascii="Arial" w:cs="Arial" w:eastAsia="Arial" w:hAnsi="Arial"/>
          <w:sz w:val="20"/>
          <w:szCs w:val="20"/>
        </w:rPr>
        <w:t xml:space="preserve">Recognize compiler-inserted security patterns in disassembly</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3.1  The x86-64 Encoding Model</w:t>
      </w:r>
    </w:p>
    <w:p>
      <w:pPr>
        <w:spacing w:after="160"/>
      </w:pPr>
      <w:r>
        <w:rPr>
          <w:rFonts w:ascii="Arial" w:cs="Arial" w:eastAsia="Arial" w:hAnsi="Arial"/>
          <w:sz w:val="20"/>
          <w:szCs w:val="20"/>
        </w:rPr>
        <w:t xml:space="preserve">x86-64 instructions are variable length — 1 to 15 bytes. The CPU's decoder reads sequentially from a known instruction boundary, making it critical that disassemblers start from valid addresses. Starting mid-instruction produces nonsensical output.</w:t>
      </w:r>
    </w:p>
    <w:p>
      <w:pPr>
        <w:shd w:fill="F0F4F8" w:val="clear"/>
        <w:spacing w:before="80" w:after="80"/>
        <w:ind w:left="360"/>
      </w:pPr>
      <w:r>
        <w:rPr>
          <w:rFonts w:ascii="Consolas" w:cs="Consolas" w:eastAsia="Consolas" w:hAnsi="Consolas"/>
          <w:sz w:val="18"/>
          <w:szCs w:val="18"/>
        </w:rPr>
        <w:t xml:space="preserve">Optional: REX prefix (1B) — 64-bit mode / extended regs</w:t>
      </w:r>
    </w:p>
    <w:p>
      <w:pPr>
        <w:shd w:fill="F0F4F8" w:val="clear"/>
        <w:spacing w:before="80" w:after="80"/>
        <w:ind w:left="360"/>
      </w:pPr>
      <w:r>
        <w:rPr>
          <w:rFonts w:ascii="Consolas" w:cs="Consolas" w:eastAsia="Consolas" w:hAnsi="Consolas"/>
          <w:sz w:val="18"/>
          <w:szCs w:val="18"/>
        </w:rPr>
        <w:t xml:space="preserve">Required: Opcode (1–3B) — identifies the instruction</w:t>
      </w:r>
    </w:p>
    <w:p>
      <w:pPr>
        <w:shd w:fill="F0F4F8" w:val="clear"/>
        <w:spacing w:before="80" w:after="80"/>
        <w:ind w:left="360"/>
      </w:pPr>
      <w:r>
        <w:rPr>
          <w:rFonts w:ascii="Consolas" w:cs="Consolas" w:eastAsia="Consolas" w:hAnsi="Consolas"/>
          <w:sz w:val="18"/>
          <w:szCs w:val="18"/>
        </w:rPr>
        <w:t xml:space="preserve">Optional: ModRM (1B) — addressing mode encoding</w:t>
      </w:r>
    </w:p>
    <w:p>
      <w:pPr>
        <w:shd w:fill="F0F4F8" w:val="clear"/>
        <w:spacing w:before="80" w:after="80"/>
        <w:ind w:left="360"/>
      </w:pPr>
      <w:r>
        <w:rPr>
          <w:rFonts w:ascii="Consolas" w:cs="Consolas" w:eastAsia="Consolas" w:hAnsi="Consolas"/>
          <w:sz w:val="18"/>
          <w:szCs w:val="18"/>
        </w:rPr>
        <w:t xml:space="preserve">Optional: SIB (1B) — scale-index-base for [base+idx*scale]</w:t>
      </w:r>
    </w:p>
    <w:p>
      <w:pPr>
        <w:shd w:fill="F0F4F8" w:val="clear"/>
        <w:spacing w:before="80" w:after="80"/>
        <w:ind w:left="360"/>
      </w:pPr>
      <w:r>
        <w:rPr>
          <w:rFonts w:ascii="Consolas" w:cs="Consolas" w:eastAsia="Consolas" w:hAnsi="Consolas"/>
          <w:sz w:val="18"/>
          <w:szCs w:val="18"/>
        </w:rPr>
        <w:t xml:space="preserve">Optional: Displacement (0,1,2,4B) — signed address offset</w:t>
      </w:r>
    </w:p>
    <w:p>
      <w:pPr>
        <w:shd w:fill="F0F4F8" w:val="clear"/>
        <w:spacing w:before="80" w:after="80"/>
        <w:ind w:left="360"/>
      </w:pPr>
      <w:r>
        <w:rPr>
          <w:rFonts w:ascii="Consolas" w:cs="Consolas" w:eastAsia="Consolas" w:hAnsi="Consolas"/>
          <w:sz w:val="18"/>
          <w:szCs w:val="18"/>
        </w:rPr>
        <w:t xml:space="preserve">Optional: Immediate (0,1,2,4,8B) — constant operand</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3.2  Call Type Security Profiles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3.3  Compiler Security Patterns</w:t>
      </w:r>
    </w:p>
    <w:p>
      <w:pPr>
        <w:spacing w:after="160"/>
      </w:pPr>
      <w:r>
        <w:rPr>
          <w:rFonts w:ascii="Arial" w:cs="Arial" w:eastAsia="Arial" w:hAnsi="Arial"/>
          <w:sz w:val="20"/>
          <w:szCs w:val="20"/>
        </w:rPr>
        <w:t xml:space="preserve">The stack canary insertion pattern is identifiable in disassembly by a pair of FS-segment reads: one at function entry storing the canary, one at exit comparing it before the RET instruction. Recognizing this pattern allows analysts to rapidly assess canary coverage in a binary without build flags.</w:t>
      </w:r>
    </w:p>
    <w:p>
      <w:pPr>
        <w:shd w:fill="F0F4F8" w:val="clear"/>
        <w:spacing w:before="80" w:after="80"/>
        <w:ind w:left="360"/>
      </w:pPr>
      <w:r>
        <w:rPr>
          <w:rFonts w:ascii="Consolas" w:cs="Consolas" w:eastAsia="Consolas" w:hAnsi="Consolas"/>
          <w:sz w:val="18"/>
          <w:szCs w:val="18"/>
        </w:rPr>
        <w:t xml:space="preserve">ENTRY: MOV RAX, fs:0x28    ; load canary from TLS</w:t>
      </w:r>
    </w:p>
    <w:p>
      <w:pPr>
        <w:shd w:fill="F0F4F8" w:val="clear"/>
        <w:spacing w:before="80" w:after="80"/>
        <w:ind w:left="360"/>
      </w:pPr>
      <w:r>
        <w:rPr>
          <w:rFonts w:ascii="Consolas" w:cs="Consolas" w:eastAsia="Consolas" w:hAnsi="Consolas"/>
          <w:sz w:val="18"/>
          <w:szCs w:val="18"/>
        </w:rPr>
        <w:t xml:space="preserve">       MOV [RBP-0x8], RAX  ; store below saved RBP</w:t>
      </w:r>
    </w:p>
    <w:p>
      <w:pPr>
        <w:shd w:fill="F0F4F8" w:val="clear"/>
        <w:spacing w:before="80" w:after="80"/>
        <w:ind w:left="360"/>
      </w:pPr>
      <w:r>
        <w:rPr>
          <w:rFonts w:ascii="Consolas" w:cs="Consolas" w:eastAsia="Consolas" w:hAnsi="Consolas"/>
          <w:sz w:val="18"/>
          <w:szCs w:val="18"/>
        </w:rPr>
        <w:t xml:space="preserve">EXIT:  MOV RAX, [RBP-0x8] ; reload</w:t>
      </w:r>
    </w:p>
    <w:p>
      <w:pPr>
        <w:shd w:fill="F0F4F8" w:val="clear"/>
        <w:spacing w:before="80" w:after="80"/>
        <w:ind w:left="360"/>
      </w:pPr>
      <w:r>
        <w:rPr>
          <w:rFonts w:ascii="Consolas" w:cs="Consolas" w:eastAsia="Consolas" w:hAnsi="Consolas"/>
          <w:sz w:val="18"/>
          <w:szCs w:val="18"/>
        </w:rPr>
        <w:t xml:space="preserve">       XOR RAX, fs:0x28   ; compare</w:t>
      </w:r>
    </w:p>
    <w:p>
      <w:pPr>
        <w:shd w:fill="F0F4F8" w:val="clear"/>
        <w:spacing w:before="80" w:after="80"/>
        <w:ind w:left="360"/>
      </w:pPr>
      <w:r>
        <w:rPr>
          <w:rFonts w:ascii="Consolas" w:cs="Consolas" w:eastAsia="Consolas" w:hAnsi="Consolas"/>
          <w:sz w:val="18"/>
          <w:szCs w:val="18"/>
        </w:rPr>
        <w:t xml:space="preserve">       JNZ __stack_chk_fail ; abort if modified</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4 — Control Flow Graph Reconstruction</w:t>
      </w:r>
    </w:p>
    <w:p>
      <w:pPr>
        <w:spacing w:after="160"/>
      </w:pPr>
      <w:r>
        <w:rPr>
          <w:rFonts w:ascii="Arial" w:cs="Arial" w:eastAsia="Arial" w:hAnsi="Arial"/>
          <w:sz w:val="20"/>
          <w:szCs w:val="20"/>
        </w:rPr>
        <w:t xml:space="preserve">The Control Flow Graph is the foundational representation of program behavior for security analysis. It is what static analysis tools build, what fuzzers use to track exploration progress, and what CFI mitigations enforce. This module teaches both manual and tool-assisted CFG reconstruction.</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Define a CFG and explain its role in static analysis and vulnerability research</w:t>
      </w:r>
    </w:p>
    <w:p>
      <w:pPr>
        <w:pStyle w:val="ListParagraph"/>
        <w:numPr>
          <w:ilvl w:val="0"/>
          <w:numId w:val="2"/>
        </w:numPr>
        <w:spacing w:after="80"/>
      </w:pPr>
      <w:r>
        <w:rPr>
          <w:rFonts w:ascii="Arial" w:cs="Arial" w:eastAsia="Arial" w:hAnsi="Arial"/>
          <w:sz w:val="20"/>
          <w:szCs w:val="20"/>
        </w:rPr>
        <w:t xml:space="preserve">Manually reconstruct a CFG from disassembly for a moderate-complexity function</w:t>
      </w:r>
    </w:p>
    <w:p>
      <w:pPr>
        <w:pStyle w:val="ListParagraph"/>
        <w:numPr>
          <w:ilvl w:val="0"/>
          <w:numId w:val="2"/>
        </w:numPr>
        <w:spacing w:after="80"/>
      </w:pPr>
      <w:r>
        <w:rPr>
          <w:rFonts w:ascii="Arial" w:cs="Arial" w:eastAsia="Arial" w:hAnsi="Arial"/>
          <w:sz w:val="20"/>
          <w:szCs w:val="20"/>
        </w:rPr>
        <w:t xml:space="preserve">Identify basic block boundaries and edge types</w:t>
      </w:r>
    </w:p>
    <w:p>
      <w:pPr>
        <w:pStyle w:val="ListParagraph"/>
        <w:numPr>
          <w:ilvl w:val="0"/>
          <w:numId w:val="2"/>
        </w:numPr>
        <w:spacing w:after="80"/>
      </w:pPr>
      <w:r>
        <w:rPr>
          <w:rFonts w:ascii="Arial" w:cs="Arial" w:eastAsia="Arial" w:hAnsi="Arial"/>
          <w:sz w:val="20"/>
          <w:szCs w:val="20"/>
        </w:rPr>
        <w:t xml:space="preserve">Explain how CFG analysis informs both fuzzer coverage and CFI policy</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4.1  Basic Blocks and Edge Types</w:t>
      </w:r>
    </w:p>
    <w:p>
      <w:pPr>
        <w:spacing w:after="160"/>
      </w:pPr>
      <w:r>
        <w:rPr>
          <w:rFonts w:ascii="Arial" w:cs="Arial" w:eastAsia="Arial" w:hAnsi="Arial"/>
          <w:sz w:val="20"/>
          <w:szCs w:val="20"/>
        </w:rPr>
        <w:t xml:space="preserve">A basic block is a maximal sequence of instructions with a single entry point and a single exit point. If the first instruction executes, every instruction in the block executes — no branches enter mid-block. CFG edges represent control transfers: fall-through (condition not taken), conditional branch (taken), unconditional jump, indirect jump, call, and return. Direct edges have statically knowable targets; indirect edges do not, which is why CFI focuses on them.</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4.2  CFG Reconstruction Challenges</w:t>
      </w:r>
    </w:p>
    <w:p>
      <w:pPr>
        <w:spacing w:after="160"/>
      </w:pPr>
      <w:r>
        <w:rPr>
          <w:rFonts w:ascii="Arial" w:cs="Arial" w:eastAsia="Arial" w:hAnsi="Arial"/>
          <w:sz w:val="20"/>
          <w:szCs w:val="20"/>
        </w:rPr>
        <w:t xml:space="preserve">Accurate CFG reconstruction for indirect control flow requires additional analysis beyond disassembly. Switch statement jump tables must be identified and bounds determined. Virtual function dispatch targets require type propagation to enumerate. Computed jumps may require dynamic observation. These gaps mean static CFI policies are necessarily conservative approximations of the true dynamic CFG.</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4.3  Coverage-Guided Fuzzing and the CFG</w:t>
      </w:r>
    </w:p>
    <w:p>
      <w:pPr>
        <w:spacing w:after="160"/>
      </w:pPr>
      <w:r>
        <w:rPr>
          <w:rFonts w:ascii="Arial" w:cs="Arial" w:eastAsia="Arial" w:hAnsi="Arial"/>
          <w:sz w:val="20"/>
          <w:szCs w:val="20"/>
        </w:rPr>
        <w:t xml:space="preserve">Coverage-guided fuzzers (AFL++, libFuzzer) instrument the binary to record which CFG edges are traversed for each input. An input that causes a previously-unseen edge to execute is 'interesting' and added to the corpus for further mutation. This feedback loop drives systematic CFG exploration. Uncovered edges represent code paths with unknown behavior — including unknown vulnerabilities.</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5 — Memory Failure Autopsy</w:t>
      </w:r>
    </w:p>
    <w:p>
      <w:pPr>
        <w:spacing w:after="160"/>
      </w:pPr>
      <w:r>
        <w:rPr>
          <w:rFonts w:ascii="Arial" w:cs="Arial" w:eastAsia="Arial" w:hAnsi="Arial"/>
          <w:sz w:val="20"/>
          <w:szCs w:val="20"/>
        </w:rPr>
        <w:t xml:space="preserve">When a program crashes due to a memory error, it leaves evidence. A skilled analyst reads that evidence methodically — moving from crash signal to root cause to security impact. This module builds systematic post-mortem analysis skills.</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Interpret crash reports, sanitizer output, and core dumps with precision</w:t>
      </w:r>
    </w:p>
    <w:p>
      <w:pPr>
        <w:pStyle w:val="ListParagraph"/>
        <w:numPr>
          <w:ilvl w:val="0"/>
          <w:numId w:val="2"/>
        </w:numPr>
        <w:spacing w:after="80"/>
      </w:pPr>
      <w:r>
        <w:rPr>
          <w:rFonts w:ascii="Arial" w:cs="Arial" w:eastAsia="Arial" w:hAnsi="Arial"/>
          <w:sz w:val="20"/>
          <w:szCs w:val="20"/>
        </w:rPr>
        <w:t xml:space="preserve">Identify proximate and root architectural causes from post-mortem evidence</w:t>
      </w:r>
    </w:p>
    <w:p>
      <w:pPr>
        <w:pStyle w:val="ListParagraph"/>
        <w:numPr>
          <w:ilvl w:val="0"/>
          <w:numId w:val="2"/>
        </w:numPr>
        <w:spacing w:after="80"/>
      </w:pPr>
      <w:r>
        <w:rPr>
          <w:rFonts w:ascii="Arial" w:cs="Arial" w:eastAsia="Arial" w:hAnsi="Arial"/>
          <w:sz w:val="20"/>
          <w:szCs w:val="20"/>
        </w:rPr>
        <w:t xml:space="preserve">Distinguish memory failure classes from their crash signatures</w:t>
      </w:r>
    </w:p>
    <w:p>
      <w:pPr>
        <w:pStyle w:val="ListParagraph"/>
        <w:numPr>
          <w:ilvl w:val="0"/>
          <w:numId w:val="2"/>
        </w:numPr>
        <w:spacing w:after="80"/>
      </w:pPr>
      <w:r>
        <w:rPr>
          <w:rFonts w:ascii="Arial" w:cs="Arial" w:eastAsia="Arial" w:hAnsi="Arial"/>
          <w:sz w:val="20"/>
          <w:szCs w:val="20"/>
        </w:rPr>
        <w:t xml:space="preserve">Produce a structured failure analysis report suitable for an advisory</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5.1  Crash Signal Taxonomy</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5.2  Reading a Core Dump</w:t>
      </w:r>
    </w:p>
    <w:p>
      <w:pPr>
        <w:spacing w:after="160"/>
      </w:pPr>
      <w:r>
        <w:rPr>
          <w:rFonts w:ascii="Arial" w:cs="Arial" w:eastAsia="Arial" w:hAnsi="Arial"/>
          <w:sz w:val="20"/>
          <w:szCs w:val="20"/>
        </w:rPr>
        <w:t xml:space="preserve">A core dump is a snapshot of the process's memory and register state at crash time. The register state tells you where the CPU was when it crashed. The stack contents reveal the call context. The mapped regions show what memory was available. Together they enable crash path reconstruction.</w:t>
      </w:r>
    </w:p>
    <w:p>
      <w:pPr>
        <w:shd w:fill="F0F4F8" w:val="clear"/>
        <w:spacing w:before="80" w:after="80"/>
        <w:ind w:left="360"/>
      </w:pPr>
      <w:r>
        <w:rPr>
          <w:rFonts w:ascii="Consolas" w:cs="Consolas" w:eastAsia="Consolas" w:hAnsi="Consolas"/>
          <w:sz w:val="18"/>
          <w:szCs w:val="18"/>
        </w:rPr>
        <w:t xml:space="preserve">(gdb) bt            ; backtrace — call path to crash</w:t>
      </w:r>
    </w:p>
    <w:p>
      <w:pPr>
        <w:shd w:fill="F0F4F8" w:val="clear"/>
        <w:spacing w:before="80" w:after="80"/>
        <w:ind w:left="360"/>
      </w:pPr>
      <w:r>
        <w:rPr>
          <w:rFonts w:ascii="Consolas" w:cs="Consolas" w:eastAsia="Consolas" w:hAnsi="Consolas"/>
          <w:sz w:val="18"/>
          <w:szCs w:val="18"/>
        </w:rPr>
        <w:t xml:space="preserve">(gdb) info registers ; full register state</w:t>
      </w:r>
    </w:p>
    <w:p>
      <w:pPr>
        <w:shd w:fill="F0F4F8" w:val="clear"/>
        <w:spacing w:before="80" w:after="80"/>
        <w:ind w:left="360"/>
      </w:pPr>
      <w:r>
        <w:rPr>
          <w:rFonts w:ascii="Consolas" w:cs="Consolas" w:eastAsia="Consolas" w:hAnsi="Consolas"/>
          <w:sz w:val="18"/>
          <w:szCs w:val="18"/>
        </w:rPr>
        <w:t xml:space="preserve">(gdb) x/8gx $rsp    ; stack contents at crash</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5.3  Failure Analysis Report Structure</w:t>
      </w:r>
    </w:p>
    <w:p>
      <w:pPr>
        <w:spacing w:after="160"/>
      </w:pPr>
      <w:r>
        <w:rPr>
          <w:rFonts w:ascii="Arial" w:cs="Arial" w:eastAsia="Arial" w:hAnsi="Arial"/>
          <w:sz w:val="20"/>
          <w:szCs w:val="20"/>
        </w:rPr>
        <w:t xml:space="preserve">A complete failure analysis report identifies: (1) the failure type and crash location; (2) the call path from input entry to crash; (3) the root architectural cause — not 'buffer too small' but 'allocation size computed from untrusted field X without validation against protocol maximum'; (4) CVSS severity with qualitative context; and (5) an architectural remediation recommendation, not just a bounds check addition.</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6 — Mitigation Modeling</w:t>
      </w:r>
    </w:p>
    <w:p>
      <w:pPr>
        <w:spacing w:after="160"/>
      </w:pPr>
      <w:r>
        <w:rPr>
          <w:rFonts w:ascii="Arial" w:cs="Arial" w:eastAsia="Arial" w:hAnsi="Arial"/>
          <w:sz w:val="20"/>
          <w:szCs w:val="20"/>
        </w:rPr>
        <w:t xml:space="preserve">Mitigations do not eliminate vulnerabilities — they raise the cost of exploiting them. Understanding mitigations requires knowing both what they protect and what they leave exposed. This module builds the ability to design, evaluate, and justify layered mitigation strategies.</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Describe the complete modern Linux mitigation stack and each layer's mechanism</w:t>
      </w:r>
    </w:p>
    <w:p>
      <w:pPr>
        <w:pStyle w:val="ListParagraph"/>
        <w:numPr>
          <w:ilvl w:val="0"/>
          <w:numId w:val="2"/>
        </w:numPr>
        <w:spacing w:after="80"/>
      </w:pPr>
      <w:r>
        <w:rPr>
          <w:rFonts w:ascii="Arial" w:cs="Arial" w:eastAsia="Arial" w:hAnsi="Arial"/>
          <w:sz w:val="20"/>
          <w:szCs w:val="20"/>
        </w:rPr>
        <w:t xml:space="preserve">Evaluate a binary's mitigation posture using checksec</w:t>
      </w:r>
    </w:p>
    <w:p>
      <w:pPr>
        <w:pStyle w:val="ListParagraph"/>
        <w:numPr>
          <w:ilvl w:val="0"/>
          <w:numId w:val="2"/>
        </w:numPr>
        <w:spacing w:after="80"/>
      </w:pPr>
      <w:r>
        <w:rPr>
          <w:rFonts w:ascii="Arial" w:cs="Arial" w:eastAsia="Arial" w:hAnsi="Arial"/>
          <w:sz w:val="20"/>
          <w:szCs w:val="20"/>
        </w:rPr>
        <w:t xml:space="preserve">Explain interaction and gaps between mitigation layers</w:t>
      </w:r>
    </w:p>
    <w:p>
      <w:pPr>
        <w:pStyle w:val="ListParagraph"/>
        <w:numPr>
          <w:ilvl w:val="0"/>
          <w:numId w:val="2"/>
        </w:numPr>
        <w:spacing w:after="80"/>
      </w:pPr>
      <w:r>
        <w:rPr>
          <w:rFonts w:ascii="Arial" w:cs="Arial" w:eastAsia="Arial" w:hAnsi="Arial"/>
          <w:sz w:val="20"/>
          <w:szCs w:val="20"/>
        </w:rPr>
        <w:t xml:space="preserve">Design a layered mitigation strategy for a described component</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6.1  The Mitigation Stack</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6.2  Mitigation Gaps</w:t>
      </w:r>
    </w:p>
    <w:p>
      <w:pPr>
        <w:spacing w:after="160"/>
      </w:pPr>
      <w:r>
        <w:rPr>
          <w:rFonts w:ascii="Arial" w:cs="Arial" w:eastAsia="Arial" w:hAnsi="Arial"/>
          <w:sz w:val="20"/>
          <w:szCs w:val="20"/>
        </w:rPr>
        <w:t xml:space="preserve">No mitigation fully addresses heap use-after-free or type confusion at the binary level. These vulnerability classes require language-level solutions (Rust, Go) or allocator-level hardening (hardened_malloc, guard pages). This is the most significant gap in the binary mitigation stack and the primary argument for memory-safe languages in security-critical code.</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7 — Zero-Day Research Framework</w:t>
      </w:r>
    </w:p>
    <w:p>
      <w:pPr>
        <w:spacing w:after="160"/>
      </w:pPr>
      <w:r>
        <w:rPr>
          <w:rFonts w:ascii="Arial" w:cs="Arial" w:eastAsia="Arial" w:hAnsi="Arial"/>
          <w:sz w:val="20"/>
          <w:szCs w:val="20"/>
        </w:rPr>
        <w:t xml:space="preserve">Zero-day research is the most demanding form of security work. It requires deep systems knowledge, creative thinking, disciplined methodology, and ethical clarity. This module defines the structured research process that NullByte Academy researchers follow.</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Apply the assumption-questioning mindset to novel systems</w:t>
      </w:r>
    </w:p>
    <w:p>
      <w:pPr>
        <w:pStyle w:val="ListParagraph"/>
        <w:numPr>
          <w:ilvl w:val="0"/>
          <w:numId w:val="2"/>
        </w:numPr>
        <w:spacing w:after="80"/>
      </w:pPr>
      <w:r>
        <w:rPr>
          <w:rFonts w:ascii="Arial" w:cs="Arial" w:eastAsia="Arial" w:hAnsi="Arial"/>
          <w:sz w:val="20"/>
          <w:szCs w:val="20"/>
        </w:rPr>
        <w:t xml:space="preserve">Execute a six-phase research process from charter to disclosure</w:t>
      </w:r>
    </w:p>
    <w:p>
      <w:pPr>
        <w:pStyle w:val="ListParagraph"/>
        <w:numPr>
          <w:ilvl w:val="0"/>
          <w:numId w:val="2"/>
        </w:numPr>
        <w:spacing w:after="80"/>
      </w:pPr>
      <w:r>
        <w:rPr>
          <w:rFonts w:ascii="Arial" w:cs="Arial" w:eastAsia="Arial" w:hAnsi="Arial"/>
          <w:sz w:val="20"/>
          <w:szCs w:val="20"/>
        </w:rPr>
        <w:t xml:space="preserve">Produce hypothesis logs with falsifiable, testable predictions</w:t>
      </w:r>
    </w:p>
    <w:p>
      <w:pPr>
        <w:pStyle w:val="ListParagraph"/>
        <w:numPr>
          <w:ilvl w:val="0"/>
          <w:numId w:val="2"/>
        </w:numPr>
        <w:spacing w:after="80"/>
      </w:pPr>
      <w:r>
        <w:rPr>
          <w:rFonts w:ascii="Arial" w:cs="Arial" w:eastAsia="Arial" w:hAnsi="Arial"/>
          <w:sz w:val="20"/>
          <w:szCs w:val="20"/>
        </w:rPr>
        <w:t xml:space="preserve">Perform impact analysis and produce advisory-format findings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7.1  Research Phases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7.2  Research Anti-Patterns</w:t>
      </w:r>
    </w:p>
    <w:p>
      <w:pPr>
        <w:spacing w:after="160"/>
      </w:pPr>
      <w:r>
        <w:rPr>
          <w:rFonts w:ascii="Arial" w:cs="Arial" w:eastAsia="Arial" w:hAnsi="Arial"/>
          <w:sz w:val="20"/>
          <w:szCs w:val="20"/>
        </w:rPr>
        <w:t xml:space="preserve">Confirmation bias in hypothesis testing, impact inflation, rushing to publication before a patch is ready, and treating PoC sophistication as the goal are the failure modes that distinguish amateur from professional research. NullByte Academy research undergoes paired mentorship review specifically to catch these patterns before disclosure.</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8 — Secure Design Principles</w:t>
      </w:r>
    </w:p>
    <w:p>
      <w:pPr>
        <w:spacing w:after="160"/>
      </w:pPr>
      <w:r>
        <w:rPr>
          <w:rFonts w:ascii="Arial" w:cs="Arial" w:eastAsia="Arial" w:hAnsi="Arial"/>
          <w:sz w:val="20"/>
          <w:szCs w:val="20"/>
        </w:rPr>
        <w:t xml:space="preserve">Security failures trace most commonly not to unknown vulnerability classes but to known classes applied to systems that were not designed with their existence in mind. Secure design principles are the architectural commitments that make entire classes of vulnerability difficult or structurally impossible.</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Apply the Saltzer-Schroeder principles as a design review lens</w:t>
      </w:r>
    </w:p>
    <w:p>
      <w:pPr>
        <w:pStyle w:val="ListParagraph"/>
        <w:numPr>
          <w:ilvl w:val="0"/>
          <w:numId w:val="2"/>
        </w:numPr>
        <w:spacing w:after="80"/>
      </w:pPr>
      <w:r>
        <w:rPr>
          <w:rFonts w:ascii="Arial" w:cs="Arial" w:eastAsia="Arial" w:hAnsi="Arial"/>
          <w:sz w:val="20"/>
          <w:szCs w:val="20"/>
        </w:rPr>
        <w:t xml:space="preserve">Explain Zero Trust architecture and how it differs from the perimeter model</w:t>
      </w:r>
    </w:p>
    <w:p>
      <w:pPr>
        <w:pStyle w:val="ListParagraph"/>
        <w:numPr>
          <w:ilvl w:val="0"/>
          <w:numId w:val="2"/>
        </w:numPr>
        <w:spacing w:after="80"/>
      </w:pPr>
      <w:r>
        <w:rPr>
          <w:rFonts w:ascii="Arial" w:cs="Arial" w:eastAsia="Arial" w:hAnsi="Arial"/>
          <w:sz w:val="20"/>
          <w:szCs w:val="20"/>
        </w:rPr>
        <w:t xml:space="preserve">Design a defense-in-depth control stack for a described system</w:t>
      </w:r>
    </w:p>
    <w:p>
      <w:pPr>
        <w:pStyle w:val="ListParagraph"/>
        <w:numPr>
          <w:ilvl w:val="0"/>
          <w:numId w:val="2"/>
        </w:numPr>
        <w:spacing w:after="80"/>
      </w:pPr>
      <w:r>
        <w:rPr>
          <w:rFonts w:ascii="Arial" w:cs="Arial" w:eastAsia="Arial" w:hAnsi="Arial"/>
          <w:sz w:val="20"/>
          <w:szCs w:val="20"/>
        </w:rPr>
        <w:t xml:space="preserve">Articulate when and why memory-safe languages are an architectural choice</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8.1  Saltzer-Schroeder Principles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8.2  Zero Trust Architecture</w:t>
      </w:r>
    </w:p>
    <w:p>
      <w:pPr>
        <w:spacing w:after="160"/>
      </w:pPr>
      <w:r>
        <w:rPr>
          <w:rFonts w:ascii="Arial" w:cs="Arial" w:eastAsia="Arial" w:hAnsi="Arial"/>
          <w:sz w:val="20"/>
          <w:szCs w:val="20"/>
        </w:rPr>
        <w:t xml:space="preserve">Zero Trust rejects the perimeter model — the assumption that everything inside the network boundary is trustworthy. Every request is authenticated and authorized regardless of network origin. Trust is never implicit; it is evaluated per-request based on identity, device state, and context. This model is required for any system where the network boundary cannot be reliably enforced, including cloud environments and remote access scenarios.</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9 — Threat Modeling</w:t>
      </w:r>
    </w:p>
    <w:p>
      <w:pPr>
        <w:spacing w:after="160"/>
      </w:pPr>
      <w:r>
        <w:rPr>
          <w:rFonts w:ascii="Arial" w:cs="Arial" w:eastAsia="Arial" w:hAnsi="Arial"/>
          <w:sz w:val="20"/>
          <w:szCs w:val="20"/>
        </w:rPr>
        <w:t xml:space="preserve">Threat modeling is the practice of asking 'what could go wrong?' before something goes wrong. Done at design time, it is the most cost-effective security activity available. Done correctly, it produces architectural decisions — not just documentation.</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Construct a Data Flow Diagram with annotated trust boundaries</w:t>
      </w:r>
    </w:p>
    <w:p>
      <w:pPr>
        <w:pStyle w:val="ListParagraph"/>
        <w:numPr>
          <w:ilvl w:val="0"/>
          <w:numId w:val="2"/>
        </w:numPr>
        <w:spacing w:after="80"/>
      </w:pPr>
      <w:r>
        <w:rPr>
          <w:rFonts w:ascii="Arial" w:cs="Arial" w:eastAsia="Arial" w:hAnsi="Arial"/>
          <w:sz w:val="20"/>
          <w:szCs w:val="20"/>
        </w:rPr>
        <w:t xml:space="preserve">Apply STRIDE per data flow and trust boundary crossing</w:t>
      </w:r>
    </w:p>
    <w:p>
      <w:pPr>
        <w:pStyle w:val="ListParagraph"/>
        <w:numPr>
          <w:ilvl w:val="0"/>
          <w:numId w:val="2"/>
        </w:numPr>
        <w:spacing w:after="80"/>
      </w:pPr>
      <w:r>
        <w:rPr>
          <w:rFonts w:ascii="Arial" w:cs="Arial" w:eastAsia="Arial" w:hAnsi="Arial"/>
          <w:sz w:val="20"/>
          <w:szCs w:val="20"/>
        </w:rPr>
        <w:t xml:space="preserve">Build an attack tree for a high-priority attacker goal</w:t>
      </w:r>
    </w:p>
    <w:p>
      <w:pPr>
        <w:pStyle w:val="ListParagraph"/>
        <w:numPr>
          <w:ilvl w:val="0"/>
          <w:numId w:val="2"/>
        </w:numPr>
        <w:spacing w:after="80"/>
      </w:pPr>
      <w:r>
        <w:rPr>
          <w:rFonts w:ascii="Arial" w:cs="Arial" w:eastAsia="Arial" w:hAnsi="Arial"/>
          <w:sz w:val="20"/>
          <w:szCs w:val="20"/>
        </w:rPr>
        <w:t xml:space="preserve">Evaluate threats by likelihood and impact; select appropriate mitigations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9.1  The Four Core Questions</w:t>
      </w:r>
    </w:p>
    <w:p>
      <w:pPr>
        <w:spacing w:after="160"/>
      </w:pPr>
      <w:r>
        <w:rPr>
          <w:rFonts w:ascii="Arial" w:cs="Arial" w:eastAsia="Arial" w:hAnsi="Arial"/>
          <w:sz w:val="20"/>
          <w:szCs w:val="20"/>
        </w:rPr>
        <w:t xml:space="preserve">Every threat modeling methodology answers the same four questions, in this order:</w:t>
      </w:r>
    </w:p>
    <w:p>
      <w:pPr>
        <w:pStyle w:val="ListParagraph"/>
        <w:numPr>
          <w:ilvl w:val="0"/>
          <w:numId w:val="2"/>
        </w:numPr>
        <w:spacing w:after="80"/>
      </w:pPr>
      <w:r>
        <w:rPr>
          <w:rFonts w:ascii="Arial" w:cs="Arial" w:eastAsia="Arial" w:hAnsi="Arial"/>
          <w:sz w:val="20"/>
          <w:szCs w:val="20"/>
        </w:rPr>
        <w:t xml:space="preserve">What are we building? (System model: DFD, components, trust boundaries)</w:t>
      </w:r>
    </w:p>
    <w:p>
      <w:pPr>
        <w:pStyle w:val="ListParagraph"/>
        <w:numPr>
          <w:ilvl w:val="0"/>
          <w:numId w:val="2"/>
        </w:numPr>
        <w:spacing w:after="80"/>
      </w:pPr>
      <w:r>
        <w:rPr>
          <w:rFonts w:ascii="Arial" w:cs="Arial" w:eastAsia="Arial" w:hAnsi="Arial"/>
          <w:sz w:val="20"/>
          <w:szCs w:val="20"/>
        </w:rPr>
        <w:t xml:space="preserve">What can go wrong? (Threat enumeration: STRIDE, attack trees)</w:t>
      </w:r>
    </w:p>
    <w:p>
      <w:pPr>
        <w:pStyle w:val="ListParagraph"/>
        <w:numPr>
          <w:ilvl w:val="0"/>
          <w:numId w:val="2"/>
        </w:numPr>
        <w:spacing w:after="80"/>
      </w:pPr>
      <w:r>
        <w:rPr>
          <w:rFonts w:ascii="Arial" w:cs="Arial" w:eastAsia="Arial" w:hAnsi="Arial"/>
          <w:sz w:val="20"/>
          <w:szCs w:val="20"/>
        </w:rPr>
        <w:t xml:space="preserve">What are we doing about it? (Mitigations: controls, architectural changes)</w:t>
      </w:r>
    </w:p>
    <w:p>
      <w:pPr>
        <w:pStyle w:val="ListParagraph"/>
        <w:numPr>
          <w:ilvl w:val="0"/>
          <w:numId w:val="2"/>
        </w:numPr>
        <w:spacing w:after="80"/>
      </w:pPr>
      <w:r>
        <w:rPr>
          <w:rFonts w:ascii="Arial" w:cs="Arial" w:eastAsia="Arial" w:hAnsi="Arial"/>
          <w:sz w:val="20"/>
          <w:szCs w:val="20"/>
        </w:rPr>
        <w:t xml:space="preserve">Did we do a good job? (Validation: testing, residual risk documentation)</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9.2  STRIDE Reference</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10 — Defensive Case Studies</w:t>
      </w:r>
    </w:p>
    <w:p>
      <w:pPr>
        <w:spacing w:after="160"/>
      </w:pPr>
      <w:r>
        <w:rPr>
          <w:rFonts w:ascii="Arial" w:cs="Arial" w:eastAsia="Arial" w:hAnsi="Arial"/>
          <w:sz w:val="20"/>
          <w:szCs w:val="20"/>
        </w:rPr>
        <w:t xml:space="preserve">Case studies are where abstract principles meet concrete reality. Five architectural case studies from publicly disclosed vulnerability classes are analyzed for the design decisions that created them, the detection opportunities missed, and the architectural lessons that generalize.</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Identify the failed assumption in each case study</w:t>
      </w:r>
    </w:p>
    <w:p>
      <w:pPr>
        <w:pStyle w:val="ListParagraph"/>
        <w:numPr>
          <w:ilvl w:val="0"/>
          <w:numId w:val="2"/>
        </w:numPr>
        <w:spacing w:after="80"/>
      </w:pPr>
      <w:r>
        <w:rPr>
          <w:rFonts w:ascii="Arial" w:cs="Arial" w:eastAsia="Arial" w:hAnsi="Arial"/>
          <w:sz w:val="20"/>
          <w:szCs w:val="20"/>
        </w:rPr>
        <w:t xml:space="preserve">Trace the call path from vulnerability site to crash site</w:t>
      </w:r>
    </w:p>
    <w:p>
      <w:pPr>
        <w:pStyle w:val="ListParagraph"/>
        <w:numPr>
          <w:ilvl w:val="0"/>
          <w:numId w:val="2"/>
        </w:numPr>
        <w:spacing w:after="80"/>
      </w:pPr>
      <w:r>
        <w:rPr>
          <w:rFonts w:ascii="Arial" w:cs="Arial" w:eastAsia="Arial" w:hAnsi="Arial"/>
          <w:sz w:val="20"/>
          <w:szCs w:val="20"/>
        </w:rPr>
        <w:t xml:space="preserve">Articulate architectural (not tactical) remediation for each case</w:t>
      </w:r>
    </w:p>
    <w:p>
      <w:pPr>
        <w:pStyle w:val="ListParagraph"/>
        <w:numPr>
          <w:ilvl w:val="0"/>
          <w:numId w:val="2"/>
        </w:numPr>
        <w:spacing w:after="80"/>
      </w:pPr>
      <w:r>
        <w:rPr>
          <w:rFonts w:ascii="Arial" w:cs="Arial" w:eastAsia="Arial" w:hAnsi="Arial"/>
          <w:sz w:val="20"/>
          <w:szCs w:val="20"/>
        </w:rPr>
        <w:t xml:space="preserve">Apply cross-cutting lessons to novel systems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10.1  Case Studies Overview</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10.2  Cross-Cutting Lessons</w:t>
      </w:r>
    </w:p>
    <w:p>
      <w:pPr>
        <w:spacing w:after="160"/>
      </w:pPr>
      <w:r>
        <w:rPr>
          <w:rFonts w:ascii="Arial" w:cs="Arial" w:eastAsia="Arial" w:hAnsi="Arial"/>
          <w:sz w:val="20"/>
          <w:szCs w:val="20"/>
        </w:rPr>
        <w:t xml:space="preserve">Three patterns appear across all case studies. First: boundary validation is non-negotiable — every case involves data crossing a trust boundary without sufficient validation at that boundary. Second: the defensive ecosystem works when used — sanitizers, fuzzers, and code review would have caught three of the five cases. Third: design-level fixes outlast patch-level fixes — a patch fixes one instance; an architectural change eliminates the class.</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11 — Advanced Labs Overview</w:t>
      </w:r>
    </w:p>
    <w:p>
      <w:pPr>
        <w:spacing w:after="160"/>
      </w:pPr>
      <w:r>
        <w:rPr>
          <w:rFonts w:ascii="Arial" w:cs="Arial" w:eastAsia="Arial" w:hAnsi="Arial"/>
          <w:sz w:val="20"/>
          <w:szCs w:val="20"/>
        </w:rPr>
        <w:t xml:space="preserve">Labs at NullByte Academy optimize for understanding, not speed. The lab series builds direct, hands-on intuition for system behavior that cannot be acquired through reading alone. All exercises occur in isolated offline environments with intentionally vulnerable synthetic targets.</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Navigate the complete lab series and understand the sequencing rationale</w:t>
      </w:r>
    </w:p>
    <w:p>
      <w:pPr>
        <w:pStyle w:val="ListParagraph"/>
        <w:numPr>
          <w:ilvl w:val="0"/>
          <w:numId w:val="2"/>
        </w:numPr>
        <w:spacing w:after="80"/>
      </w:pPr>
      <w:r>
        <w:rPr>
          <w:rFonts w:ascii="Arial" w:cs="Arial" w:eastAsia="Arial" w:hAnsi="Arial"/>
          <w:sz w:val="20"/>
          <w:szCs w:val="20"/>
        </w:rPr>
        <w:t xml:space="preserve">Interpret sanitizer output and GDB traces in lab context</w:t>
      </w:r>
    </w:p>
    <w:p>
      <w:pPr>
        <w:pStyle w:val="ListParagraph"/>
        <w:numPr>
          <w:ilvl w:val="0"/>
          <w:numId w:val="2"/>
        </w:numPr>
        <w:spacing w:after="80"/>
      </w:pPr>
      <w:r>
        <w:rPr>
          <w:rFonts w:ascii="Arial" w:cs="Arial" w:eastAsia="Arial" w:hAnsi="Arial"/>
          <w:sz w:val="20"/>
          <w:szCs w:val="20"/>
        </w:rPr>
        <w:t xml:space="preserve">Produce structured lab reports that articulate root cause and remedy</w:t>
      </w:r>
    </w:p>
    <w:p>
      <w:pPr>
        <w:pStyle w:val="ListParagraph"/>
        <w:numPr>
          <w:ilvl w:val="0"/>
          <w:numId w:val="2"/>
        </w:numPr>
        <w:spacing w:after="80"/>
      </w:pPr>
      <w:r>
        <w:rPr>
          <w:rFonts w:ascii="Arial" w:cs="Arial" w:eastAsia="Arial" w:hAnsi="Arial"/>
          <w:sz w:val="20"/>
          <w:szCs w:val="20"/>
        </w:rPr>
        <w:t xml:space="preserve">Apply lab findings to real-world defensive architecture reasoning</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11.1  Lab Series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11.2  Assessment Criteria</w:t>
      </w:r>
    </w:p>
    <w:p>
      <w:pPr>
        <w:spacing w:after="160"/>
      </w:pPr>
      <w:r>
        <w:rPr>
          <w:rFonts w:ascii="Arial" w:cs="Arial" w:eastAsia="Arial" w:hAnsi="Arial"/>
          <w:sz w:val="20"/>
          <w:szCs w:val="20"/>
        </w:rPr>
        <w:t xml:space="preserve">Labs are assessed on conceptual accuracy (40%), analysis depth (30%), defensive reasoning (20%), and documentation quality (10%). A student who produces a perfectly formatted report without understanding the underlying vulnerability class cannot pass. Speed is not a signal of depth in this curriculum — students completing labs faster than the designed duration are asked to demonstrate understanding in a technical debrief.</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Module 12 — Final Project Guidelines</w:t>
      </w:r>
    </w:p>
    <w:p>
      <w:pPr>
        <w:spacing w:after="160"/>
      </w:pPr>
      <w:r>
        <w:rPr>
          <w:rFonts w:ascii="Arial" w:cs="Arial" w:eastAsia="Arial" w:hAnsi="Arial"/>
          <w:sz w:val="20"/>
          <w:szCs w:val="20"/>
        </w:rPr>
        <w:t xml:space="preserve">The final project is a professional-grade deliverable demonstrating independent application of the curriculum to a novel problem. It is not an exam. It is not a CTF. It is the kind of work product a practitioner would produce in a professional security role.</w:t>
      </w:r>
    </w:p>
    <w:p>
      <w:pPr>
        <w:pStyle w:val="Heading2"/>
        <w:spacing w:before="300" w:after="160"/>
      </w:pPr>
      <w:r>
        <w:rPr>
          <w:rFonts w:ascii="Arial" w:cs="Arial" w:eastAsia="Arial" w:hAnsi="Arial"/>
          <w:b/>
          <w:bCs/>
          <w:color w:val="16213E"/>
          <w:sz w:val="26"/>
          <w:szCs w:val="26"/>
        </w:rPr>
        <w:t xml:space="preserve">Learning Objectives</w:t>
      </w:r>
    </w:p>
    <w:p>
      <w:pPr>
        <w:pStyle w:val="ListParagraph"/>
        <w:numPr>
          <w:ilvl w:val="0"/>
          <w:numId w:val="2"/>
        </w:numPr>
        <w:spacing w:after="80"/>
      </w:pPr>
      <w:r>
        <w:rPr>
          <w:rFonts w:ascii="Arial" w:cs="Arial" w:eastAsia="Arial" w:hAnsi="Arial"/>
          <w:sz w:val="20"/>
          <w:szCs w:val="20"/>
        </w:rPr>
        <w:t xml:space="preserve">Select and execute an appropriate project track</w:t>
      </w:r>
    </w:p>
    <w:p>
      <w:pPr>
        <w:pStyle w:val="ListParagraph"/>
        <w:numPr>
          <w:ilvl w:val="0"/>
          <w:numId w:val="2"/>
        </w:numPr>
        <w:spacing w:after="80"/>
      </w:pPr>
      <w:r>
        <w:rPr>
          <w:rFonts w:ascii="Arial" w:cs="Arial" w:eastAsia="Arial" w:hAnsi="Arial"/>
          <w:sz w:val="20"/>
          <w:szCs w:val="20"/>
        </w:rPr>
        <w:t xml:space="preserve">Produce all required deliverables to professional publication standards</w:t>
      </w:r>
    </w:p>
    <w:p>
      <w:pPr>
        <w:pStyle w:val="ListParagraph"/>
        <w:numPr>
          <w:ilvl w:val="0"/>
          <w:numId w:val="2"/>
        </w:numPr>
        <w:spacing w:after="80"/>
      </w:pPr>
      <w:r>
        <w:rPr>
          <w:rFonts w:ascii="Arial" w:cs="Arial" w:eastAsia="Arial" w:hAnsi="Arial"/>
          <w:sz w:val="20"/>
          <w:szCs w:val="20"/>
        </w:rPr>
        <w:t xml:space="preserve">Demonstrate conceptual understanding in a technical debrief session</w:t>
      </w:r>
    </w:p>
    <w:p>
      <w:pPr>
        <w:pStyle w:val="ListParagraph"/>
        <w:numPr>
          <w:ilvl w:val="0"/>
          <w:numId w:val="2"/>
        </w:numPr>
        <w:spacing w:after="80"/>
      </w:pPr>
      <w:r>
        <w:rPr>
          <w:rFonts w:ascii="Arial" w:cs="Arial" w:eastAsia="Arial" w:hAnsi="Arial"/>
          <w:sz w:val="20"/>
          <w:szCs w:val="20"/>
        </w:rPr>
        <w:t xml:space="preserve">Apply the full ethical framework including disclosure obligations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12.1  Project Tracks</w:t>
      </w:r>
    </w:p>
    <w:p>
      <w:pPr>
        <w:spacing w:after="120"/>
      </w:pPr>
      <w:r>
        <w:rPr>
          <w:rFonts w:ascii="Arial" w:cs="Arial" w:eastAsia="Arial" w:hAnsi="Arial"/>
          <w:sz w:val="20"/>
          <w:szCs w:val="20"/>
        </w:rPr>
        <w:t xml:space="preserve"> </w:t>
      </w:r>
    </w:p>
    <w:p>
      <w:pPr>
        <w:pStyle w:val="Heading2"/>
        <w:spacing w:before="300" w:after="160"/>
      </w:pPr>
      <w:r>
        <w:rPr>
          <w:rFonts w:ascii="Arial" w:cs="Arial" w:eastAsia="Arial" w:hAnsi="Arial"/>
          <w:b/>
          <w:bCs/>
          <w:color w:val="16213E"/>
          <w:sz w:val="26"/>
          <w:szCs w:val="26"/>
        </w:rPr>
        <w:t xml:space="preserve">12.2  Evaluation Rubric</w:t>
      </w:r>
    </w:p>
    <w:p>
      <w:pPr>
        <w:spacing w:after="12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Appendix A — Glossary</w:t>
      </w:r>
    </w:p>
    <w:p>
      <w:pPr>
        <w:spacing w:before="160" w:after="60"/>
      </w:pPr>
      <w:r>
        <w:rPr>
          <w:rFonts w:ascii="Arial" w:cs="Arial" w:eastAsia="Arial" w:hAnsi="Arial"/>
          <w:b/>
          <w:bCs/>
          <w:color w:val="0F3460"/>
          <w:sz w:val="20"/>
          <w:szCs w:val="20"/>
        </w:rPr>
        <w:t xml:space="preserve">Address Space Layout Randomization (ASLR)</w:t>
      </w:r>
    </w:p>
    <w:p>
      <w:pPr>
        <w:spacing w:after="120"/>
        <w:ind w:left="360"/>
      </w:pPr>
      <w:r>
        <w:rPr>
          <w:rFonts w:ascii="Arial" w:cs="Arial" w:eastAsia="Arial" w:hAnsi="Arial"/>
          <w:sz w:val="20"/>
          <w:szCs w:val="20"/>
        </w:rPr>
        <w:t xml:space="preserve">A kernel-level mitigation that randomizes the base addresses of the stack, heap, and loaded libraries at process start time, increasing the difficulty of attacks that depend on predictable memory locations.</w:t>
      </w:r>
    </w:p>
    <w:p>
      <w:pPr>
        <w:spacing w:before="160" w:after="60"/>
      </w:pPr>
      <w:r>
        <w:rPr>
          <w:rFonts w:ascii="Arial" w:cs="Arial" w:eastAsia="Arial" w:hAnsi="Arial"/>
          <w:b/>
          <w:bCs/>
          <w:color w:val="0F3460"/>
          <w:sz w:val="20"/>
          <w:szCs w:val="20"/>
        </w:rPr>
        <w:t xml:space="preserve">Arbitrary Code Execution (ACE)</w:t>
      </w:r>
    </w:p>
    <w:p>
      <w:pPr>
        <w:spacing w:after="120"/>
        <w:ind w:left="360"/>
      </w:pPr>
      <w:r>
        <w:rPr>
          <w:rFonts w:ascii="Arial" w:cs="Arial" w:eastAsia="Arial" w:hAnsi="Arial"/>
          <w:sz w:val="20"/>
          <w:szCs w:val="20"/>
        </w:rPr>
        <w:t xml:space="preserve">A condition in which an attacker can cause a process to execute instructions of their choosing. Distinct from Remote Code Execution (delivery vector) and Privilege Escalation (execution context).</w:t>
      </w:r>
    </w:p>
    <w:p>
      <w:pPr>
        <w:spacing w:before="160" w:after="60"/>
      </w:pPr>
      <w:r>
        <w:rPr>
          <w:rFonts w:ascii="Arial" w:cs="Arial" w:eastAsia="Arial" w:hAnsi="Arial"/>
          <w:b/>
          <w:bCs/>
          <w:color w:val="0F3460"/>
          <w:sz w:val="20"/>
          <w:szCs w:val="20"/>
        </w:rPr>
        <w:t xml:space="preserve">Basic Block</w:t>
      </w:r>
    </w:p>
    <w:p>
      <w:pPr>
        <w:spacing w:after="120"/>
        <w:ind w:left="360"/>
      </w:pPr>
      <w:r>
        <w:rPr>
          <w:rFonts w:ascii="Arial" w:cs="Arial" w:eastAsia="Arial" w:hAnsi="Arial"/>
          <w:sz w:val="20"/>
          <w:szCs w:val="20"/>
        </w:rPr>
        <w:t xml:space="preserve">A maximal sequence of instructions with a single entry point and single exit point. If the first instruction executes, all instructions in the block execute.</w:t>
      </w:r>
    </w:p>
    <w:p>
      <w:pPr>
        <w:spacing w:before="160" w:after="60"/>
      </w:pPr>
      <w:r>
        <w:rPr>
          <w:rFonts w:ascii="Arial" w:cs="Arial" w:eastAsia="Arial" w:hAnsi="Arial"/>
          <w:b/>
          <w:bCs/>
          <w:color w:val="0F3460"/>
          <w:sz w:val="20"/>
          <w:szCs w:val="20"/>
        </w:rPr>
        <w:t xml:space="preserve">Buffer Overflow</w:t>
      </w:r>
    </w:p>
    <w:p>
      <w:pPr>
        <w:spacing w:after="120"/>
        <w:ind w:left="360"/>
      </w:pPr>
      <w:r>
        <w:rPr>
          <w:rFonts w:ascii="Arial" w:cs="Arial" w:eastAsia="Arial" w:hAnsi="Arial"/>
          <w:sz w:val="20"/>
          <w:szCs w:val="20"/>
        </w:rPr>
        <w:t xml:space="preserve">A memory corruption condition in which a write operation exceeds the bounds of its target buffer and overwrites adjacent memory. May contain control structures, saved return addresses, or function pointers.</w:t>
      </w:r>
    </w:p>
    <w:p>
      <w:pPr>
        <w:spacing w:before="160" w:after="60"/>
      </w:pPr>
      <w:r>
        <w:rPr>
          <w:rFonts w:ascii="Arial" w:cs="Arial" w:eastAsia="Arial" w:hAnsi="Arial"/>
          <w:b/>
          <w:bCs/>
          <w:color w:val="0F3460"/>
          <w:sz w:val="20"/>
          <w:szCs w:val="20"/>
        </w:rPr>
        <w:t xml:space="preserve">Control Flow Graph (CFG)</w:t>
      </w:r>
    </w:p>
    <w:p>
      <w:pPr>
        <w:spacing w:after="120"/>
        <w:ind w:left="360"/>
      </w:pPr>
      <w:r>
        <w:rPr>
          <w:rFonts w:ascii="Arial" w:cs="Arial" w:eastAsia="Arial" w:hAnsi="Arial"/>
          <w:sz w:val="20"/>
          <w:szCs w:val="20"/>
        </w:rPr>
        <w:t xml:space="preserve">A directed graph where each node is a basic block and each edge represents a possible control transfer. The foundational program representation for static analysis and CFI policy.</w:t>
      </w:r>
    </w:p>
    <w:p>
      <w:pPr>
        <w:spacing w:before="160" w:after="60"/>
      </w:pPr>
      <w:r>
        <w:rPr>
          <w:rFonts w:ascii="Arial" w:cs="Arial" w:eastAsia="Arial" w:hAnsi="Arial"/>
          <w:b/>
          <w:bCs/>
          <w:color w:val="0F3460"/>
          <w:sz w:val="20"/>
          <w:szCs w:val="20"/>
        </w:rPr>
        <w:t xml:space="preserve">Control Flow Integrity (CFI)</w:t>
      </w:r>
    </w:p>
    <w:p>
      <w:pPr>
        <w:spacing w:after="120"/>
        <w:ind w:left="360"/>
      </w:pPr>
      <w:r>
        <w:rPr>
          <w:rFonts w:ascii="Arial" w:cs="Arial" w:eastAsia="Arial" w:hAnsi="Arial"/>
          <w:sz w:val="20"/>
          <w:szCs w:val="20"/>
        </w:rPr>
        <w:t xml:space="preserve">A mitigation technique that restricts valid control flow transfers to a statically computed set of legitimate targets, preventing most indirect control flow hijacking attacks.</w:t>
      </w:r>
    </w:p>
    <w:p>
      <w:pPr>
        <w:spacing w:before="160" w:after="60"/>
      </w:pPr>
      <w:r>
        <w:rPr>
          <w:rFonts w:ascii="Arial" w:cs="Arial" w:eastAsia="Arial" w:hAnsi="Arial"/>
          <w:b/>
          <w:bCs/>
          <w:color w:val="0F3460"/>
          <w:sz w:val="20"/>
          <w:szCs w:val="20"/>
        </w:rPr>
        <w:t xml:space="preserve">CVE (Common Vulnerabilities and Exposures)</w:t>
      </w:r>
    </w:p>
    <w:p>
      <w:pPr>
        <w:spacing w:after="120"/>
        <w:ind w:left="360"/>
      </w:pPr>
      <w:r>
        <w:rPr>
          <w:rFonts w:ascii="Arial" w:cs="Arial" w:eastAsia="Arial" w:hAnsi="Arial"/>
          <w:sz w:val="20"/>
          <w:szCs w:val="20"/>
        </w:rPr>
        <w:t xml:space="preserve">A public catalog of unique identifiers assigned to publicly disclosed vulnerabilities. Format: CVE-YYYY-NNNNN.</w:t>
      </w:r>
    </w:p>
    <w:p>
      <w:pPr>
        <w:spacing w:before="160" w:after="60"/>
      </w:pPr>
      <w:r>
        <w:rPr>
          <w:rFonts w:ascii="Arial" w:cs="Arial" w:eastAsia="Arial" w:hAnsi="Arial"/>
          <w:b/>
          <w:bCs/>
          <w:color w:val="0F3460"/>
          <w:sz w:val="20"/>
          <w:szCs w:val="20"/>
        </w:rPr>
        <w:t xml:space="preserve">Data Flow Diagram (DFD)</w:t>
      </w:r>
    </w:p>
    <w:p>
      <w:pPr>
        <w:spacing w:after="120"/>
        <w:ind w:left="360"/>
      </w:pPr>
      <w:r>
        <w:rPr>
          <w:rFonts w:ascii="Arial" w:cs="Arial" w:eastAsia="Arial" w:hAnsi="Arial"/>
          <w:sz w:val="20"/>
          <w:szCs w:val="20"/>
        </w:rPr>
        <w:t xml:space="preserve">A threat modeling artifact representing a system in terms of actors, processes, data stores, and data flows between them, with trust boundaries explicitly marked.</w:t>
      </w:r>
    </w:p>
    <w:p>
      <w:pPr>
        <w:spacing w:before="160" w:after="60"/>
      </w:pPr>
      <w:r>
        <w:rPr>
          <w:rFonts w:ascii="Arial" w:cs="Arial" w:eastAsia="Arial" w:hAnsi="Arial"/>
          <w:b/>
          <w:bCs/>
          <w:color w:val="0F3460"/>
          <w:sz w:val="20"/>
          <w:szCs w:val="20"/>
        </w:rPr>
        <w:t xml:space="preserve">Defense in Depth</w:t>
      </w:r>
    </w:p>
    <w:p>
      <w:pPr>
        <w:spacing w:after="120"/>
        <w:ind w:left="360"/>
      </w:pPr>
      <w:r>
        <w:rPr>
          <w:rFonts w:ascii="Arial" w:cs="Arial" w:eastAsia="Arial" w:hAnsi="Arial"/>
          <w:sz w:val="20"/>
          <w:szCs w:val="20"/>
        </w:rPr>
        <w:t xml:space="preserve">An architectural principle that layers multiple independent security controls so the failure of any single control does not result in complete compromise.</w:t>
      </w:r>
    </w:p>
    <w:p>
      <w:pPr>
        <w:spacing w:before="160" w:after="60"/>
      </w:pPr>
      <w:r>
        <w:rPr>
          <w:rFonts w:ascii="Arial" w:cs="Arial" w:eastAsia="Arial" w:hAnsi="Arial"/>
          <w:b/>
          <w:bCs/>
          <w:color w:val="0F3460"/>
          <w:sz w:val="20"/>
          <w:szCs w:val="20"/>
        </w:rPr>
        <w:t xml:space="preserve">Fuzzing</w:t>
      </w:r>
    </w:p>
    <w:p>
      <w:pPr>
        <w:spacing w:after="120"/>
        <w:ind w:left="360"/>
      </w:pPr>
      <w:r>
        <w:rPr>
          <w:rFonts w:ascii="Arial" w:cs="Arial" w:eastAsia="Arial" w:hAnsi="Arial"/>
          <w:sz w:val="20"/>
          <w:szCs w:val="20"/>
        </w:rPr>
        <w:t xml:space="preserve">Automated testing that generates large volumes of invalid, unexpected, or random input to discover crashes and unexpected behavior. Coverage-guided fuzzers instrument the target to maximize CFG exploration.</w:t>
      </w:r>
    </w:p>
    <w:p>
      <w:pPr>
        <w:spacing w:before="160" w:after="60"/>
      </w:pPr>
      <w:r>
        <w:rPr>
          <w:rFonts w:ascii="Arial" w:cs="Arial" w:eastAsia="Arial" w:hAnsi="Arial"/>
          <w:b/>
          <w:bCs/>
          <w:color w:val="0F3460"/>
          <w:sz w:val="20"/>
          <w:szCs w:val="20"/>
        </w:rPr>
        <w:t xml:space="preserve">Heap</w:t>
      </w:r>
    </w:p>
    <w:p>
      <w:pPr>
        <w:spacing w:after="120"/>
        <w:ind w:left="360"/>
      </w:pPr>
      <w:r>
        <w:rPr>
          <w:rFonts w:ascii="Arial" w:cs="Arial" w:eastAsia="Arial" w:hAnsi="Arial"/>
          <w:sz w:val="20"/>
          <w:szCs w:val="20"/>
        </w:rPr>
        <w:t xml:space="preserve">A region of memory managed by the runtime allocator for dynamic allocation. Heap corruption vulnerabilities include use-after-free, heap overflow, and double-free.</w:t>
      </w:r>
    </w:p>
    <w:p>
      <w:pPr>
        <w:spacing w:before="160" w:after="60"/>
      </w:pPr>
      <w:r>
        <w:rPr>
          <w:rFonts w:ascii="Arial" w:cs="Arial" w:eastAsia="Arial" w:hAnsi="Arial"/>
          <w:b/>
          <w:bCs/>
          <w:color w:val="0F3460"/>
          <w:sz w:val="20"/>
          <w:szCs w:val="20"/>
        </w:rPr>
        <w:t xml:space="preserve">Memory Safety</w:t>
      </w:r>
    </w:p>
    <w:p>
      <w:pPr>
        <w:spacing w:after="120"/>
        <w:ind w:left="360"/>
      </w:pPr>
      <w:r>
        <w:rPr>
          <w:rFonts w:ascii="Arial" w:cs="Arial" w:eastAsia="Arial" w:hAnsi="Arial"/>
          <w:sz w:val="20"/>
          <w:szCs w:val="20"/>
        </w:rPr>
        <w:t xml:space="preserve">A property of programming languages or systems guaranteeing programs cannot access memory outside their intended scope. Rust, Go, and Java are memory-safe; C and C++ are not by default.</w:t>
      </w:r>
    </w:p>
    <w:p>
      <w:pPr>
        <w:spacing w:before="160" w:after="60"/>
      </w:pPr>
      <w:r>
        <w:rPr>
          <w:rFonts w:ascii="Arial" w:cs="Arial" w:eastAsia="Arial" w:hAnsi="Arial"/>
          <w:b/>
          <w:bCs/>
          <w:color w:val="0F3460"/>
          <w:sz w:val="20"/>
          <w:szCs w:val="20"/>
        </w:rPr>
        <w:t xml:space="preserve">NX / DEP</w:t>
      </w:r>
    </w:p>
    <w:p>
      <w:pPr>
        <w:spacing w:after="120"/>
        <w:ind w:left="360"/>
      </w:pPr>
      <w:r>
        <w:rPr>
          <w:rFonts w:ascii="Arial" w:cs="Arial" w:eastAsia="Arial" w:hAnsi="Arial"/>
          <w:sz w:val="20"/>
          <w:szCs w:val="20"/>
        </w:rPr>
        <w:t xml:space="preserve">No-eXecute / Data Execution Prevention. Hardware and OS-level mitigation marking memory regions as either executable or writable but not both. Prevents direct shellcode injection. Bypassed by ROP.</w:t>
      </w:r>
    </w:p>
    <w:p>
      <w:pPr>
        <w:spacing w:before="160" w:after="60"/>
      </w:pPr>
      <w:r>
        <w:rPr>
          <w:rFonts w:ascii="Arial" w:cs="Arial" w:eastAsia="Arial" w:hAnsi="Arial"/>
          <w:b/>
          <w:bCs/>
          <w:color w:val="0F3460"/>
          <w:sz w:val="20"/>
          <w:szCs w:val="20"/>
        </w:rPr>
        <w:t xml:space="preserve">Return-Oriented Programming (ROP)</w:t>
      </w:r>
    </w:p>
    <w:p>
      <w:pPr>
        <w:spacing w:after="120"/>
        <w:ind w:left="360"/>
      </w:pPr>
      <w:r>
        <w:rPr>
          <w:rFonts w:ascii="Arial" w:cs="Arial" w:eastAsia="Arial" w:hAnsi="Arial"/>
          <w:sz w:val="20"/>
          <w:szCs w:val="20"/>
        </w:rPr>
        <w:t xml:space="preserve">A code-reuse technique chaining short existing instruction sequences ('gadgets') ending in RET instructions to construct arbitrary computation without injecting new code. Bypasses NX. Mitigated by CFI.</w:t>
      </w:r>
    </w:p>
    <w:p>
      <w:pPr>
        <w:spacing w:before="160" w:after="60"/>
      </w:pPr>
      <w:r>
        <w:rPr>
          <w:rFonts w:ascii="Arial" w:cs="Arial" w:eastAsia="Arial" w:hAnsi="Arial"/>
          <w:b/>
          <w:bCs/>
          <w:color w:val="0F3460"/>
          <w:sz w:val="20"/>
          <w:szCs w:val="20"/>
        </w:rPr>
        <w:t xml:space="preserve">Stack Canary</w:t>
      </w:r>
    </w:p>
    <w:p>
      <w:pPr>
        <w:spacing w:after="120"/>
        <w:ind w:left="360"/>
      </w:pPr>
      <w:r>
        <w:rPr>
          <w:rFonts w:ascii="Arial" w:cs="Arial" w:eastAsia="Arial" w:hAnsi="Arial"/>
          <w:sz w:val="20"/>
          <w:szCs w:val="20"/>
        </w:rPr>
        <w:t xml:space="preserve">A sentinel value placed between local variables and the saved return address. Checked before function return; modification triggers process termination. Detects sequential overwrites; does not detect skipping writes.</w:t>
      </w:r>
    </w:p>
    <w:p>
      <w:pPr>
        <w:spacing w:before="160" w:after="60"/>
      </w:pPr>
      <w:r>
        <w:rPr>
          <w:rFonts w:ascii="Arial" w:cs="Arial" w:eastAsia="Arial" w:hAnsi="Arial"/>
          <w:b/>
          <w:bCs/>
          <w:color w:val="0F3460"/>
          <w:sz w:val="20"/>
          <w:szCs w:val="20"/>
        </w:rPr>
        <w:t xml:space="preserve">STRIDE</w:t>
      </w:r>
    </w:p>
    <w:p>
      <w:pPr>
        <w:spacing w:after="120"/>
        <w:ind w:left="360"/>
      </w:pPr>
      <w:r>
        <w:rPr>
          <w:rFonts w:ascii="Arial" w:cs="Arial" w:eastAsia="Arial" w:hAnsi="Arial"/>
          <w:sz w:val="20"/>
          <w:szCs w:val="20"/>
        </w:rPr>
        <w:t xml:space="preserve">A threat modeling framework: Spoofing, Tampering, Repudiation, Information Disclosure, Denial of Service, Elevation of Privilege. Applied per DFD element to enumerate threats systematically.</w:t>
      </w:r>
    </w:p>
    <w:p>
      <w:pPr>
        <w:spacing w:before="160" w:after="60"/>
      </w:pPr>
      <w:r>
        <w:rPr>
          <w:rFonts w:ascii="Arial" w:cs="Arial" w:eastAsia="Arial" w:hAnsi="Arial"/>
          <w:b/>
          <w:bCs/>
          <w:color w:val="0F3460"/>
          <w:sz w:val="20"/>
          <w:szCs w:val="20"/>
        </w:rPr>
        <w:t xml:space="preserve">Use-After-Free (UAF)</w:t>
      </w:r>
    </w:p>
    <w:p>
      <w:pPr>
        <w:spacing w:after="120"/>
        <w:ind w:left="360"/>
      </w:pPr>
      <w:r>
        <w:rPr>
          <w:rFonts w:ascii="Arial" w:cs="Arial" w:eastAsia="Arial" w:hAnsi="Arial"/>
          <w:sz w:val="20"/>
          <w:szCs w:val="20"/>
        </w:rPr>
        <w:t xml:space="preserve">A memory corruption vulnerability in which a program continues to use a pointer after the referenced memory has been freed. If freed memory is reallocated with attacker-controlled data, the dangling pointer provides a read/write primitive.</w:t>
      </w:r>
    </w:p>
    <w:p>
      <w:pPr>
        <w:spacing w:before="160" w:after="60"/>
      </w:pPr>
      <w:r>
        <w:rPr>
          <w:rFonts w:ascii="Arial" w:cs="Arial" w:eastAsia="Arial" w:hAnsi="Arial"/>
          <w:b/>
          <w:bCs/>
          <w:color w:val="0F3460"/>
          <w:sz w:val="20"/>
          <w:szCs w:val="20"/>
        </w:rPr>
        <w:t xml:space="preserve">Zero Trust Architecture</w:t>
      </w:r>
    </w:p>
    <w:p>
      <w:pPr>
        <w:spacing w:after="120"/>
        <w:ind w:left="360"/>
      </w:pPr>
      <w:r>
        <w:rPr>
          <w:rFonts w:ascii="Arial" w:cs="Arial" w:eastAsia="Arial" w:hAnsi="Arial"/>
          <w:sz w:val="20"/>
          <w:szCs w:val="20"/>
        </w:rPr>
        <w:t xml:space="preserve">A security model requiring explicit authentication and authorization for every access request regardless of network origin. Trust is never implicit or ambient.</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Appendix B — Mitigation Quick Reference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3200"/>
      </w:tblGrid>
      <w:tr>
        <w:trPr>
          <w:tblHeader/>
        </w:trPr>
        <w:tc>
          <w:tcPr>
            <w:tcW w:type="dxa" w:w="2000"/>
            <w:tcBorders>
              <w:top w:val="single" w:color="D0D8E4" w:sz="4"/>
              <w:left w:val="single" w:color="D0D8E4" w:sz="4"/>
              <w:bottom w:val="single" w:color="D0D8E4" w:sz="4"/>
              <w:right w:val="single" w:color="D0D8E4" w:sz="4"/>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Mitigation</w:t>
            </w:r>
          </w:p>
        </w:tc>
        <w:tc>
          <w:tcPr>
            <w:tcW w:type="dxa" w:w="2400"/>
            <w:tcBorders>
              <w:top w:val="single" w:color="D0D8E4" w:sz="4"/>
              <w:left w:val="single" w:color="D0D8E4" w:sz="4"/>
              <w:bottom w:val="single" w:color="D0D8E4" w:sz="4"/>
              <w:right w:val="single" w:color="D0D8E4" w:sz="4"/>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Flag / Config</w:t>
            </w:r>
          </w:p>
        </w:tc>
        <w:tc>
          <w:tcPr>
            <w:tcW w:type="dxa" w:w="2800"/>
            <w:tcBorders>
              <w:top w:val="single" w:color="D0D8E4" w:sz="4"/>
              <w:left w:val="single" w:color="D0D8E4" w:sz="4"/>
              <w:bottom w:val="single" w:color="D0D8E4" w:sz="4"/>
              <w:right w:val="single" w:color="D0D8E4" w:sz="4"/>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Addresses</w:t>
            </w:r>
          </w:p>
        </w:tc>
        <w:tc>
          <w:tcPr>
            <w:tcW w:type="dxa" w:w="3200"/>
            <w:tcBorders>
              <w:top w:val="single" w:color="D0D8E4" w:sz="4"/>
              <w:left w:val="single" w:color="D0D8E4" w:sz="4"/>
              <w:bottom w:val="single" w:color="D0D8E4" w:sz="4"/>
              <w:right w:val="single" w:color="D0D8E4" w:sz="4"/>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Does NOT Address</w:t>
            </w:r>
          </w:p>
        </w:tc>
      </w:tr>
      <w:tr>
        <w:tc>
          <w:tcPr>
            <w:tcW w:type="dxa" w:w="20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Stack Canary</w:t>
            </w:r>
          </w:p>
        </w:tc>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-fstack-protector-strong</w:t>
            </w:r>
          </w:p>
        </w:tc>
        <w:tc>
          <w:tcPr>
            <w:tcW w:type="dxa" w:w="28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Sequential stack overflows reaching ret addr</w:t>
            </w:r>
          </w:p>
        </w:tc>
        <w:tc>
          <w:tcPr>
            <w:tcW w:type="dxa" w:w="32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Out-of-order writes; format string; direct ptr write to ret addr</w:t>
            </w:r>
          </w:p>
        </w:tc>
      </w:tr>
      <w:tr>
        <w:tc>
          <w:tcPr>
            <w:tcW w:type="dxa" w:w="20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NX / DEP</w:t>
            </w:r>
          </w:p>
        </w:tc>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Default on modern kernels</w:t>
            </w:r>
          </w:p>
        </w:tc>
        <w:tc>
          <w:tcPr>
            <w:tcW w:type="dxa" w:w="28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Shellcode in data regions</w:t>
            </w:r>
          </w:p>
        </w:tc>
        <w:tc>
          <w:tcPr>
            <w:tcW w:type="dxa" w:w="32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ROP (reuses existing exec code)</w:t>
            </w:r>
          </w:p>
        </w:tc>
      </w:tr>
      <w:tr>
        <w:tc>
          <w:tcPr>
            <w:tcW w:type="dxa" w:w="20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ASLR</w:t>
            </w:r>
          </w:p>
        </w:tc>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Kernel sysctl kernel.randomize_va_space=2</w:t>
            </w:r>
          </w:p>
        </w:tc>
        <w:tc>
          <w:tcPr>
            <w:tcW w:type="dxa" w:w="28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Fixed-address assumptions</w:t>
            </w:r>
          </w:p>
        </w:tc>
        <w:tc>
          <w:tcPr>
            <w:tcW w:type="dxa" w:w="32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Info leak attacks that expose a randomized address</w:t>
            </w:r>
          </w:p>
        </w:tc>
      </w:tr>
      <w:tr>
        <w:tc>
          <w:tcPr>
            <w:tcW w:type="dxa" w:w="20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PIE</w:t>
            </w:r>
          </w:p>
        </w:tc>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-fpie -pie</w:t>
            </w:r>
          </w:p>
        </w:tc>
        <w:tc>
          <w:tcPr>
            <w:tcW w:type="dxa" w:w="28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ASLR for .text segment (without PIE, .text is fixed)</w:t>
            </w:r>
          </w:p>
        </w:tc>
        <w:tc>
          <w:tcPr>
            <w:tcW w:type="dxa" w:w="32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Nothing without ASLR enabled</w:t>
            </w:r>
          </w:p>
        </w:tc>
      </w:tr>
      <w:tr>
        <w:tc>
          <w:tcPr>
            <w:tcW w:type="dxa" w:w="20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Full RELRO</w:t>
            </w:r>
          </w:p>
        </w:tc>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-Wl,-z,relro,-z,now</w:t>
            </w:r>
          </w:p>
        </w:tc>
        <w:tc>
          <w:tcPr>
            <w:tcW w:type="dxa" w:w="28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GOT overwrite attacks</w:t>
            </w:r>
          </w:p>
        </w:tc>
        <w:tc>
          <w:tcPr>
            <w:tcW w:type="dxa" w:w="32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Non-GOT function pointers; other writable data pointers</w:t>
            </w:r>
          </w:p>
        </w:tc>
      </w:tr>
      <w:tr>
        <w:tc>
          <w:tcPr>
            <w:tcW w:type="dxa" w:w="20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CFI</w:t>
            </w:r>
          </w:p>
        </w:tc>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-fsanitize=cfi (Clang)</w:t>
            </w:r>
          </w:p>
        </w:tc>
        <w:tc>
          <w:tcPr>
            <w:tcW w:type="dxa" w:w="28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Indirect call/jump to non-whitelisted target</w:t>
            </w:r>
          </w:p>
        </w:tc>
        <w:tc>
          <w:tcPr>
            <w:tcW w:type="dxa" w:w="32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Intra-allowset confusion; data-only attacks</w:t>
            </w:r>
          </w:p>
        </w:tc>
      </w:tr>
      <w:tr>
        <w:tc>
          <w:tcPr>
            <w:tcW w:type="dxa" w:w="20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SafeStack</w:t>
            </w:r>
          </w:p>
        </w:tc>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-fsanitize=safe-stack</w:t>
            </w:r>
          </w:p>
        </w:tc>
        <w:tc>
          <w:tcPr>
            <w:tcW w:type="dxa" w:w="28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All stack-based return address corruption</w:t>
            </w:r>
          </w:p>
        </w:tc>
        <w:tc>
          <w:tcPr>
            <w:tcW w:type="dxa" w:w="32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Heap-based control flow attacks</w:t>
            </w:r>
          </w:p>
        </w:tc>
      </w:tr>
      <w:tr>
        <w:tc>
          <w:tcPr>
            <w:tcW w:type="dxa" w:w="20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Seccomp-BPF</w:t>
            </w:r>
          </w:p>
        </w:tc>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prctl(PR_SET_SECCOMP, ...)</w:t>
            </w:r>
          </w:p>
        </w:tc>
        <w:tc>
          <w:tcPr>
            <w:tcW w:type="dxa" w:w="28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Reduces available syscalls post-exploitation</w:t>
            </w:r>
          </w:p>
        </w:tc>
        <w:tc>
          <w:tcPr>
            <w:tcW w:type="dxa" w:w="32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Does not prevent exploitation; limits post-exploitation scope</w:t>
            </w:r>
          </w:p>
        </w:tc>
      </w:tr>
      <w:tr>
        <w:tc>
          <w:tcPr>
            <w:tcW w:type="dxa" w:w="20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Hardened malloc</w:t>
            </w:r>
          </w:p>
        </w:tc>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Link hardened_malloc library</w:t>
            </w:r>
          </w:p>
        </w:tc>
        <w:tc>
          <w:tcPr>
            <w:tcW w:type="dxa" w:w="28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UAF exploitation; heap metadata corruption</w:t>
            </w:r>
          </w:p>
        </w:tc>
        <w:tc>
          <w:tcPr>
            <w:tcW w:type="dxa" w:w="32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Source-level memory safety bugs; language-level issues</w:t>
            </w:r>
          </w:p>
        </w:tc>
      </w:tr>
    </w:tbl>
    <w:p>
      <w:pPr>
        <w:spacing w:after="240"/>
      </w:pPr>
      <w:r>
        <w:rPr>
          <w:rFonts w:ascii="Arial" w:cs="Arial" w:eastAsia="Arial" w:hAnsi="Arial"/>
          <w:sz w:val="20"/>
          <w:szCs w:val="20"/>
        </w:rPr>
        <w:t xml:space="preserve"> </w:t>
      </w:r>
    </w:p>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Appendix C — Responsible Disclosure Advisory Template</w:t>
      </w:r>
    </w:p>
    <w:p>
      <w:pPr>
        <w:spacing w:after="160"/>
      </w:pPr>
      <w:r>
        <w:rPr>
          <w:rFonts w:ascii="Arial" w:cs="Arial" w:eastAsia="Arial" w:hAnsi="Arial"/>
          <w:sz w:val="20"/>
          <w:szCs w:val="20"/>
        </w:rPr>
        <w:t xml:space="preserve">Use this template for all vulnerability disclosures conducted under NullByte Academy research. Fill all sections before initial vendor contact.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tcBorders>
              <w:top w:val="single" w:color="D0D8E4" w:sz="4"/>
              <w:left w:val="single" w:color="D0D8E4" w:sz="4"/>
              <w:bottom w:val="single" w:color="D0D8E4" w:sz="4"/>
              <w:right w:val="single" w:color="D0D8E4" w:sz="4"/>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Section</w:t>
            </w:r>
          </w:p>
        </w:tc>
        <w:tc>
          <w:tcPr>
            <w:tcW w:type="dxa" w:w="7600"/>
            <w:tcBorders>
              <w:top w:val="single" w:color="D0D8E4" w:sz="4"/>
              <w:left w:val="single" w:color="D0D8E4" w:sz="4"/>
              <w:bottom w:val="single" w:color="D0D8E4" w:sz="4"/>
              <w:right w:val="single" w:color="D0D8E4" w:sz="4"/>
            </w:tcBorders>
            <w:shd w:fill="0F346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Required</w:t>
            </w:r>
          </w:p>
        </w:tc>
      </w:tr>
      <w:tr>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Advisory Title</w:t>
            </w:r>
          </w:p>
        </w:tc>
        <w:tc>
          <w:tcPr>
            <w:tcW w:type="dxa" w:w="76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[Product] [Component] [Vulnerability Class] — e.g., 'ExampleApp HTTP Parser Heap Buffer Overflow'</w:t>
            </w:r>
          </w:p>
        </w:tc>
      </w:tr>
      <w:tr>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CVE Identifier</w:t>
            </w:r>
          </w:p>
        </w:tc>
        <w:tc>
          <w:tcPr>
            <w:tcW w:type="dxa" w:w="76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Reserved via MITRE or vendor CNA; 'Pending' until assigned</w:t>
            </w:r>
          </w:p>
        </w:tc>
      </w:tr>
      <w:tr>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Affected Versions</w:t>
            </w:r>
          </w:p>
        </w:tc>
        <w:tc>
          <w:tcPr>
            <w:tcW w:type="dxa" w:w="76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Specific version ranges confirmed vulnerable; last confirmed safe version</w:t>
            </w:r>
          </w:p>
        </w:tc>
      </w:tr>
      <w:tr>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CVSS v3.1 Score</w:t>
            </w:r>
          </w:p>
        </w:tc>
        <w:tc>
          <w:tcPr>
            <w:tcW w:type="dxa" w:w="76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Base score + vector string; note if Temporal/Environmental metrics applied</w:t>
            </w:r>
          </w:p>
        </w:tc>
      </w:tr>
      <w:tr>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Vulnerability Description</w:t>
            </w:r>
          </w:p>
        </w:tc>
        <w:tc>
          <w:tcPr>
            <w:tcW w:type="dxa" w:w="76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Technical description: affected component, root cause, class, conditions required to trigger</w:t>
            </w:r>
          </w:p>
        </w:tc>
      </w:tr>
      <w:tr>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Impact</w:t>
            </w:r>
          </w:p>
        </w:tc>
        <w:tc>
          <w:tcPr>
            <w:tcW w:type="dxa" w:w="76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Worst-case security impact: code execution / info disclosure / DoS; required preconditions</w:t>
            </w:r>
          </w:p>
        </w:tc>
      </w:tr>
      <w:tr>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Proof-of-Concept Note</w:t>
            </w:r>
          </w:p>
        </w:tc>
        <w:tc>
          <w:tcPr>
            <w:tcW w:type="dxa" w:w="76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Describe (do not reproduce) the PoC methodology; confirm exploitability was demonstrated</w:t>
            </w:r>
          </w:p>
        </w:tc>
      </w:tr>
      <w:tr>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Patch / Workaround</w:t>
            </w:r>
          </w:p>
        </w:tc>
        <w:tc>
          <w:tcPr>
            <w:tcW w:type="dxa" w:w="76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Link to vendor patch if available; interim workaround if patch pending</w:t>
            </w:r>
          </w:p>
        </w:tc>
      </w:tr>
      <w:tr>
        <w:tc>
          <w:tcPr>
            <w:tcW w:type="dxa" w:w="24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Discovery</w:t>
            </w:r>
          </w:p>
        </w:tc>
        <w:tc>
          <w:tcPr>
            <w:tcW w:type="dxa" w:w="7600"/>
            <w:tcBorders>
              <w:top w:val="single" w:color="D0D8E4" w:sz="4"/>
              <w:left w:val="single" w:color="D0D8E4" w:sz="4"/>
              <w:bottom w:val="single" w:color="D0D8E4" w:sz="4"/>
              <w:right w:val="single" w:color="D0D8E4" w:sz="4"/>
            </w:tcBorders>
            <w:shd w:fill="F4F6F8"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Researcher name/handle; discovery date; disclosure timeline log</w:t>
            </w:r>
          </w:p>
        </w:tc>
      </w:tr>
      <w:tr>
        <w:tc>
          <w:tcPr>
            <w:tcW w:type="dxa" w:w="24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References</w:t>
            </w:r>
          </w:p>
        </w:tc>
        <w:tc>
          <w:tcPr>
            <w:tcW w:type="dxa" w:w="7600"/>
            <w:tcBorders>
              <w:top w:val="single" w:color="D0D8E4" w:sz="4"/>
              <w:left w:val="single" w:color="D0D8E4" w:sz="4"/>
              <w:bottom w:val="single" w:color="D0D8E4" w:sz="4"/>
              <w:right w:val="single" w:color="D0D8E4" w:sz="4"/>
            </w:tcBorders>
            <w:shd w:fill="FFFFFF" w:val="clear"/>
            <w:tcMar>
              <w:top w:type="dxa" w:w="60"/>
              <w:left w:type="dxa" w:w="120"/>
              <w:bottom w:type="dxa" w:w="60"/>
              <w:right w:type="dxa" w:w="120"/>
            </w:tcMar>
            <w:vAlign w:val="top"/>
          </w:tcPr>
          <w:p>
            <w:pPr>
              <w:jc w:val="left"/>
            </w:pPr>
            <w:r>
              <w:rPr>
                <w:rFonts w:ascii="Arial" w:cs="Arial" w:eastAsia="Arial" w:hAnsi="Arial"/>
                <w:color w:val="2C3E50"/>
                <w:sz w:val="18"/>
                <w:szCs w:val="18"/>
              </w:rPr>
              <w:t xml:space="preserve">CVE link; vendor advisory; related CVEs; academic references if applicable</w:t>
            </w:r>
          </w:p>
        </w:tc>
      </w:tr>
    </w:tbl>
    <w:p>
      <w:r>
        <w:br w:type="page"/>
      </w:r>
    </w:p>
    <w:p>
      <w:pPr>
        <w:pStyle w:val="Heading1"/>
        <w:pBdr>
          <w:bottom w:val="single" w:color="00AEEF" w:sz="6" w:space="4"/>
        </w:pBdr>
        <w:spacing w:before="400" w:after="200"/>
      </w:pPr>
      <w:r>
        <w:rPr>
          <w:rFonts w:ascii="Arial" w:cs="Arial" w:eastAsia="Arial" w:hAnsi="Arial"/>
          <w:b/>
          <w:bCs/>
          <w:color w:val="0F3460"/>
          <w:sz w:val="32"/>
          <w:szCs w:val="32"/>
        </w:rPr>
        <w:t xml:space="preserve">Appendix E — Recommended Reading &amp; References</w:t>
      </w:r>
    </w:p>
    <w:p>
      <w:pPr>
        <w:pStyle w:val="Heading2"/>
        <w:spacing w:before="300" w:after="160"/>
      </w:pPr>
      <w:r>
        <w:rPr>
          <w:rFonts w:ascii="Arial" w:cs="Arial" w:eastAsia="Arial" w:hAnsi="Arial"/>
          <w:b/>
          <w:bCs/>
          <w:color w:val="16213E"/>
          <w:sz w:val="26"/>
          <w:szCs w:val="26"/>
        </w:rPr>
        <w:t xml:space="preserve">Foundational Papers</w:t>
      </w:r>
    </w:p>
    <w:p>
      <w:pPr>
        <w:spacing w:after="100"/>
        <w:ind w:left="360"/>
      </w:pPr>
      <w:r>
        <w:rPr>
          <w:rFonts w:ascii="Arial" w:cs="Arial" w:eastAsia="Arial" w:hAnsi="Arial"/>
          <w:sz w:val="20"/>
          <w:szCs w:val="20"/>
        </w:rPr>
        <w:t xml:space="preserve">Saltzer, J.H. and Schroeder, M.D. (1975). 'The Protection of Information in Computer Systems.' Proceedings of the IEEE, 63(9), 1278–1308.</w:t>
      </w:r>
    </w:p>
    <w:p>
      <w:pPr>
        <w:spacing w:after="100"/>
        <w:ind w:left="360"/>
      </w:pPr>
      <w:r>
        <w:rPr>
          <w:rFonts w:ascii="Arial" w:cs="Arial" w:eastAsia="Arial" w:hAnsi="Arial"/>
          <w:sz w:val="20"/>
          <w:szCs w:val="20"/>
        </w:rPr>
        <w:t xml:space="preserve">Anderson, J.P. (1972). 'Computer Security Technology Planning Study.' ESD-TR-73-51, USAF Electronic Systems Division.</w:t>
      </w:r>
    </w:p>
    <w:p>
      <w:pPr>
        <w:spacing w:after="100"/>
        <w:ind w:left="360"/>
      </w:pPr>
      <w:r>
        <w:rPr>
          <w:rFonts w:ascii="Arial" w:cs="Arial" w:eastAsia="Arial" w:hAnsi="Arial"/>
          <w:sz w:val="20"/>
          <w:szCs w:val="20"/>
        </w:rPr>
        <w:t xml:space="preserve">Aleph One (1996). 'Smashing the Stack for Fun and Profit.' Phrack Magazine, 49(14).</w:t>
      </w:r>
    </w:p>
    <w:p>
      <w:pPr>
        <w:spacing w:after="100"/>
        <w:ind w:left="360"/>
      </w:pPr>
      <w:r>
        <w:rPr>
          <w:rFonts w:ascii="Arial" w:cs="Arial" w:eastAsia="Arial" w:hAnsi="Arial"/>
          <w:sz w:val="20"/>
          <w:szCs w:val="20"/>
        </w:rPr>
        <w:t xml:space="preserve">Shacham, H. (2007). 'The Geometry of Innocent Flesh on the Bone: Return-into-libc without Function Calls (on the x86).' CCS 2007.</w:t>
      </w:r>
    </w:p>
    <w:p>
      <w:pPr>
        <w:spacing w:after="100"/>
        <w:ind w:left="360"/>
      </w:pPr>
      <w:r>
        <w:rPr>
          <w:rFonts w:ascii="Arial" w:cs="Arial" w:eastAsia="Arial" w:hAnsi="Arial"/>
          <w:sz w:val="20"/>
          <w:szCs w:val="20"/>
        </w:rPr>
        <w:t xml:space="preserve">Abadi, M. et al. (2005). 'Control-Flow Integrity.' ACM CCS 2005.</w:t>
      </w:r>
    </w:p>
    <w:p>
      <w:pPr>
        <w:pStyle w:val="Heading2"/>
        <w:spacing w:before="300" w:after="160"/>
      </w:pPr>
      <w:r>
        <w:rPr>
          <w:rFonts w:ascii="Arial" w:cs="Arial" w:eastAsia="Arial" w:hAnsi="Arial"/>
          <w:b/>
          <w:bCs/>
          <w:color w:val="16213E"/>
          <w:sz w:val="26"/>
          <w:szCs w:val="26"/>
        </w:rPr>
        <w:t xml:space="preserve">Technical References</w:t>
      </w:r>
    </w:p>
    <w:p>
      <w:pPr>
        <w:spacing w:after="100"/>
        <w:ind w:left="360"/>
      </w:pPr>
      <w:r>
        <w:rPr>
          <w:rFonts w:ascii="Arial" w:cs="Arial" w:eastAsia="Arial" w:hAnsi="Arial"/>
          <w:sz w:val="20"/>
          <w:szCs w:val="20"/>
        </w:rPr>
        <w:t xml:space="preserve">AMD64 Architecture Programmer's Manual — AMD, Inc. (current edition)</w:t>
      </w:r>
    </w:p>
    <w:p>
      <w:pPr>
        <w:spacing w:after="100"/>
        <w:ind w:left="360"/>
      </w:pPr>
      <w:r>
        <w:rPr>
          <w:rFonts w:ascii="Arial" w:cs="Arial" w:eastAsia="Arial" w:hAnsi="Arial"/>
          <w:sz w:val="20"/>
          <w:szCs w:val="20"/>
        </w:rPr>
        <w:t xml:space="preserve">System V Application Binary Interface — AMD64 Supplement (current edition)</w:t>
      </w:r>
    </w:p>
    <w:p>
      <w:pPr>
        <w:spacing w:after="100"/>
        <w:ind w:left="360"/>
      </w:pPr>
      <w:r>
        <w:rPr>
          <w:rFonts w:ascii="Arial" w:cs="Arial" w:eastAsia="Arial" w:hAnsi="Arial"/>
          <w:sz w:val="20"/>
          <w:szCs w:val="20"/>
        </w:rPr>
        <w:t xml:space="preserve">Intel 64 and IA-32 Architectures Software Developer's Manual — Intel Corporation</w:t>
      </w:r>
    </w:p>
    <w:p>
      <w:pPr>
        <w:spacing w:after="100"/>
        <w:ind w:left="360"/>
      </w:pPr>
      <w:r>
        <w:rPr>
          <w:rFonts w:ascii="Arial" w:cs="Arial" w:eastAsia="Arial" w:hAnsi="Arial"/>
          <w:sz w:val="20"/>
          <w:szCs w:val="20"/>
        </w:rPr>
        <w:t xml:space="preserve">Linux Kernel Source — kernel.org (arch/x86/ for architecture-specific code)</w:t>
      </w:r>
    </w:p>
    <w:p>
      <w:pPr>
        <w:spacing w:after="100"/>
        <w:ind w:left="360"/>
      </w:pPr>
      <w:r>
        <w:rPr>
          <w:rFonts w:ascii="Arial" w:cs="Arial" w:eastAsia="Arial" w:hAnsi="Arial"/>
          <w:sz w:val="20"/>
          <w:szCs w:val="20"/>
        </w:rPr>
        <w:t xml:space="preserve">Ghidra Software Reverse Engineering Framework — National Security Agency (ghidra.re)</w:t>
      </w:r>
    </w:p>
    <w:p>
      <w:pPr>
        <w:pStyle w:val="Heading2"/>
        <w:spacing w:before="300" w:after="160"/>
      </w:pPr>
      <w:r>
        <w:rPr>
          <w:rFonts w:ascii="Arial" w:cs="Arial" w:eastAsia="Arial" w:hAnsi="Arial"/>
          <w:b/>
          <w:bCs/>
          <w:color w:val="16213E"/>
          <w:sz w:val="26"/>
          <w:szCs w:val="26"/>
        </w:rPr>
        <w:t xml:space="preserve">Standards and Frameworks</w:t>
      </w:r>
    </w:p>
    <w:p>
      <w:pPr>
        <w:spacing w:after="100"/>
        <w:ind w:left="360"/>
      </w:pPr>
      <w:r>
        <w:rPr>
          <w:rFonts w:ascii="Arial" w:cs="Arial" w:eastAsia="Arial" w:hAnsi="Arial"/>
          <w:sz w:val="20"/>
          <w:szCs w:val="20"/>
        </w:rPr>
        <w:t xml:space="preserve">NIST SP 800-53 Rev. 5 — Security and Privacy Controls for Information Systems</w:t>
      </w:r>
    </w:p>
    <w:p>
      <w:pPr>
        <w:spacing w:after="100"/>
        <w:ind w:left="360"/>
      </w:pPr>
      <w:r>
        <w:rPr>
          <w:rFonts w:ascii="Arial" w:cs="Arial" w:eastAsia="Arial" w:hAnsi="Arial"/>
          <w:sz w:val="20"/>
          <w:szCs w:val="20"/>
        </w:rPr>
        <w:t xml:space="preserve">CWE Top 25 Most Dangerous Software Weaknesses — MITRE Corporation (cwe.mitre.org)</w:t>
      </w:r>
    </w:p>
    <w:p>
      <w:pPr>
        <w:spacing w:after="100"/>
        <w:ind w:left="360"/>
      </w:pPr>
      <w:r>
        <w:rPr>
          <w:rFonts w:ascii="Arial" w:cs="Arial" w:eastAsia="Arial" w:hAnsi="Arial"/>
          <w:sz w:val="20"/>
          <w:szCs w:val="20"/>
        </w:rPr>
        <w:t xml:space="preserve">OWASP Testing Guide v4.2 — Open Web Application Security Project</w:t>
      </w:r>
    </w:p>
    <w:p>
      <w:pPr>
        <w:spacing w:after="100"/>
        <w:ind w:left="360"/>
      </w:pPr>
      <w:r>
        <w:rPr>
          <w:rFonts w:ascii="Arial" w:cs="Arial" w:eastAsia="Arial" w:hAnsi="Arial"/>
          <w:sz w:val="20"/>
          <w:szCs w:val="20"/>
        </w:rPr>
        <w:t xml:space="preserve">CVSS v3.1 Specification Document — FIRST (first.org/cvss)</w:t>
      </w:r>
    </w:p>
    <w:p>
      <w:pPr>
        <w:spacing w:after="100"/>
        <w:ind w:left="360"/>
      </w:pPr>
      <w:r>
        <w:rPr>
          <w:rFonts w:ascii="Arial" w:cs="Arial" w:eastAsia="Arial" w:hAnsi="Arial"/>
          <w:sz w:val="20"/>
          <w:szCs w:val="20"/>
        </w:rPr>
        <w:t xml:space="preserve">Budapest Convention on Cybercrime — Council of Europe Treaty Series No. 185</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4" w:space="4"/>
      </w:pBdr>
      <w:tabs>
        <w:tab w:val="right" w:pos="9360"/>
      </w:tabs>
    </w:pPr>
    <w:r>
      <w:rPr>
        <w:rFonts w:ascii="Arial" w:cs="Arial" w:eastAsia="Arial" w:hAnsi="Arial"/>
        <w:color w:val="7F8C8D"/>
        <w:sz w:val="16"/>
        <w:szCs w:val="16"/>
      </w:rPr>
      <w:t xml:space="preserve">© NullByte Academy 2026  ·  mrwhite4939@gmail.com  ·  Page </w:t>
    </w:r>
    <w:fldSimple w:instr="[object Object]"/>
    <w:r>
      <w:rPr>
        <w:rFonts w:ascii="Arial" w:cs="Arial" w:eastAsia="Arial" w:hAnsi="Arial"/>
        <w:i/>
        <w:iCs/>
        <w:color w:val="7F8C8D"/>
        <w:sz w:val="16"/>
        <w:szCs w:val="16"/>
      </w:rPr>
      <w:t xml:space="preserve">	Research-Grade Content Only — No Real Exploits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4" w:space="4"/>
      </w:pBdr>
      <w:tabs>
        <w:tab w:val="right" w:pos="9360"/>
      </w:tabs>
    </w:pPr>
    <w:r>
      <w:rPr>
        <w:rFonts w:ascii="Arial" w:cs="Arial" w:eastAsia="Arial" w:hAnsi="Arial"/>
        <w:color w:val="7F8C8D"/>
        <w:sz w:val="18"/>
        <w:szCs w:val="18"/>
      </w:rPr>
      <w:t xml:space="preserve">NullByte Academy  ·  Curriculum Reference Book</w:t>
    </w:r>
    <w:r>
      <w:rPr>
        <w:rFonts w:ascii="Arial" w:cs="Arial" w:eastAsia="Arial" w:hAnsi="Arial"/>
      </w:rPr>
      <w:t xml:space="preserve">	</w:t>
    </w:r>
    <w:r>
      <w:rPr>
        <w:rFonts w:ascii="Arial" w:cs="Arial" w:eastAsia="Arial" w:hAnsi="Arial"/>
        <w:i/>
        <w:iCs/>
        <w:color w:val="7F8C8D"/>
        <w:sz w:val="18"/>
        <w:szCs w:val="18"/>
      </w:rPr>
      <w:t xml:space="preserve">Confidential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3460"/>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2026-02-25T03:31:31.704Z</dcterms:created>
  <dcterms:modified xsi:type="dcterms:W3CDTF">2026-02-25T03:31:31.705Z</dcterms:modified>
</cp:coreProperties>
</file>

<file path=docProps/custom.xml><?xml version="1.0" encoding="utf-8"?>
<Properties xmlns="http://schemas.openxmlformats.org/officeDocument/2006/custom-properties" xmlns:vt="http://schemas.openxmlformats.org/officeDocument/2006/docPropsVTypes"/>
</file>