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Digital Marketing Trends 2024</w:t>
      </w:r>
    </w:p>
    <w:p>
      <w:r>
        <w:t>The digital landscape continues to evolve at an unprecedented pace.</w:t>
      </w:r>
    </w:p>
    <w:p>
      <w:r>
        <w:rPr>
          <w:i/>
          <w:sz w:val="24"/>
        </w:rPr>
        <w:t>Key trend: short-form video content dominates engagement metrics.</w:t>
      </w:r>
    </w:p>
    <w:p>
      <w:r>
        <w:t>Brands are investing heavily in influencer partnerships and social commerce.</w:t>
      </w:r>
    </w:p>
    <w:p>
      <w:r>
        <w:rPr>
          <w:i/>
          <w:sz w:val="24"/>
        </w:rPr>
        <w:t>Key trend: AI-powered personalization improves conversion rates significantly.</w:t>
      </w:r>
    </w:p>
    <w:p>
      <w:r>
        <w:t>Data privacy regulations are reshaping how marketers collect and use consumer data.</w:t>
      </w:r>
    </w:p>
    <w:p>
      <w:r>
        <w:rPr>
          <w:i/>
          <w:sz w:val="24"/>
        </w:rPr>
        <w:t>Key trend: first-party data strategies are becoming essential for all brands.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