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Urban Development Strategy 2025</w:t>
      </w:r>
    </w:p>
    <w:p>
      <w:pPr>
        <w:spacing w:line="240" w:lineRule="auto"/>
      </w:pPr>
      <w:r>
        <w:t>The city council has approved a comprehensive urban development plan.</w:t>
      </w:r>
    </w:p>
    <w:p>
      <w:pPr>
        <w:spacing w:line="240" w:lineRule="auto"/>
      </w:pPr>
      <w:r>
        <w:t>Key priorities include affordable housing and improved public transport.</w:t>
      </w:r>
    </w:p>
    <w:p>
      <w:pPr>
        <w:spacing w:line="240" w:lineRule="auto"/>
      </w:pPr>
      <w:r>
        <w:t>Green spaces will be expanded by 20% across the metropolitan area.</w:t>
      </w:r>
    </w:p>
    <w:p>
      <w:pPr>
        <w:spacing w:line="240" w:lineRule="auto"/>
      </w:pPr>
      <w:r>
        <w:t>The plan also addresses flood management and climate resilience.</w:t>
      </w:r>
    </w:p>
    <w:p>
      <w:pPr>
        <w:spacing w:line="240" w:lineRule="auto"/>
      </w:pPr>
      <w:r>
        <w:t>Implementation will be phased over the next five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